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835511" w:rsidRPr="001E086F" w:rsidRDefault="00835511" w:rsidP="00835511">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sz w:val="22"/>
          <w:szCs w:val="22"/>
        </w:rPr>
        <w:lastRenderedPageBreak/>
        <w:t xml:space="preserve">ITEM N° </w:t>
      </w:r>
      <w:r w:rsidR="002B3566">
        <w:rPr>
          <w:rFonts w:ascii="Arial" w:eastAsia="Arial Narrow" w:hAnsi="Arial" w:cs="Arial"/>
          <w:b/>
          <w:sz w:val="22"/>
          <w:szCs w:val="22"/>
        </w:rPr>
        <w:t>3</w:t>
      </w:r>
      <w:r w:rsidR="00442143">
        <w:rPr>
          <w:rFonts w:ascii="Arial" w:eastAsia="Arial Narrow" w:hAnsi="Arial" w:cs="Arial"/>
          <w:b/>
          <w:sz w:val="22"/>
          <w:szCs w:val="22"/>
        </w:rPr>
        <w:t>6</w:t>
      </w:r>
    </w:p>
    <w:p w:rsidR="00835511" w:rsidRPr="001E086F" w:rsidRDefault="00835511" w:rsidP="00835511">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sz w:val="22"/>
          <w:szCs w:val="22"/>
        </w:rPr>
        <w:t>UN (01) ASESOR ADMINISTRATIVO -</w:t>
      </w:r>
      <w:r w:rsidR="00271272" w:rsidRPr="001E086F">
        <w:rPr>
          <w:rFonts w:ascii="Arial" w:eastAsia="Arial Narrow" w:hAnsi="Arial" w:cs="Arial"/>
          <w:b/>
          <w:sz w:val="22"/>
          <w:szCs w:val="22"/>
        </w:rPr>
        <w:t xml:space="preserve"> </w:t>
      </w:r>
      <w:r w:rsidRPr="001E086F">
        <w:rPr>
          <w:rFonts w:ascii="Arial" w:eastAsia="Arial Narrow" w:hAnsi="Arial" w:cs="Arial"/>
          <w:b/>
          <w:sz w:val="22"/>
          <w:szCs w:val="22"/>
        </w:rPr>
        <w:t>TRABAJADOR(A) SOCIAL PARA</w:t>
      </w:r>
      <w:r w:rsidR="00F2471A">
        <w:rPr>
          <w:rFonts w:ascii="Arial" w:eastAsia="Arial Narrow" w:hAnsi="Arial" w:cs="Arial"/>
          <w:b/>
          <w:sz w:val="22"/>
          <w:szCs w:val="22"/>
        </w:rPr>
        <w:t xml:space="preserve"> EL Á</w:t>
      </w:r>
      <w:r w:rsidR="002B489A" w:rsidRPr="001E086F">
        <w:rPr>
          <w:rFonts w:ascii="Arial" w:eastAsia="Arial Narrow" w:hAnsi="Arial" w:cs="Arial"/>
          <w:b/>
          <w:sz w:val="22"/>
          <w:szCs w:val="22"/>
        </w:rPr>
        <w:t>REA DE</w:t>
      </w:r>
      <w:r w:rsidRPr="001E086F">
        <w:rPr>
          <w:rFonts w:ascii="Arial" w:eastAsia="Arial Narrow" w:hAnsi="Arial" w:cs="Arial"/>
          <w:b/>
          <w:sz w:val="22"/>
          <w:szCs w:val="22"/>
        </w:rPr>
        <w:t xml:space="preserve"> LA DEMUN</w:t>
      </w:r>
      <w:r w:rsidR="002B489A" w:rsidRPr="001E086F">
        <w:rPr>
          <w:rFonts w:ascii="Arial" w:eastAsia="Arial Narrow" w:hAnsi="Arial" w:cs="Arial"/>
          <w:b/>
          <w:color w:val="000000"/>
          <w:sz w:val="22"/>
          <w:szCs w:val="22"/>
        </w:rPr>
        <w:t xml:space="preserve">A DE LA </w:t>
      </w:r>
      <w:r w:rsidRPr="001E086F">
        <w:rPr>
          <w:rFonts w:ascii="Arial" w:eastAsia="Arial Narrow" w:hAnsi="Arial" w:cs="Arial"/>
          <w:b/>
          <w:color w:val="000000"/>
          <w:sz w:val="22"/>
          <w:szCs w:val="22"/>
        </w:rPr>
        <w:t>GERENCIA DE DESARROLLO SOCIAL</w:t>
      </w:r>
    </w:p>
    <w:p w:rsidR="00835511" w:rsidRPr="001E086F" w:rsidRDefault="00835511" w:rsidP="009955DF">
      <w:pPr>
        <w:pStyle w:val="Prrafodelista"/>
        <w:numPr>
          <w:ilvl w:val="0"/>
          <w:numId w:val="24"/>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1E086F">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835511" w:rsidRPr="001E086F" w:rsidTr="00835511">
        <w:trPr>
          <w:trHeight w:val="438"/>
        </w:trPr>
        <w:tc>
          <w:tcPr>
            <w:tcW w:w="2867" w:type="dxa"/>
            <w:shd w:val="clear" w:color="auto" w:fill="7F7F7F" w:themeFill="text1" w:themeFillTint="80"/>
            <w:vAlign w:val="center"/>
          </w:tcPr>
          <w:p w:rsidR="00835511" w:rsidRPr="001E086F" w:rsidRDefault="00835511" w:rsidP="00835511">
            <w:pPr>
              <w:widowControl w:val="0"/>
              <w:spacing w:before="60" w:after="60"/>
              <w:ind w:left="103"/>
              <w:jc w:val="center"/>
              <w:rPr>
                <w:rFonts w:ascii="Arial" w:eastAsia="Arial Narrow" w:hAnsi="Arial" w:cs="Arial"/>
                <w:sz w:val="22"/>
                <w:szCs w:val="22"/>
              </w:rPr>
            </w:pPr>
            <w:r w:rsidRPr="001E086F">
              <w:rPr>
                <w:rFonts w:ascii="Arial" w:eastAsia="Arial Narrow" w:hAnsi="Arial" w:cs="Arial"/>
                <w:b/>
                <w:sz w:val="22"/>
                <w:szCs w:val="22"/>
              </w:rPr>
              <w:t>REQUISITOS</w:t>
            </w:r>
          </w:p>
        </w:tc>
        <w:tc>
          <w:tcPr>
            <w:tcW w:w="5921" w:type="dxa"/>
            <w:shd w:val="clear" w:color="auto" w:fill="7F7F7F" w:themeFill="text1" w:themeFillTint="80"/>
            <w:vAlign w:val="center"/>
          </w:tcPr>
          <w:p w:rsidR="00835511" w:rsidRPr="001E086F" w:rsidRDefault="00835511" w:rsidP="00835511">
            <w:pPr>
              <w:widowControl w:val="0"/>
              <w:spacing w:before="60" w:after="60"/>
              <w:ind w:left="103"/>
              <w:jc w:val="center"/>
              <w:rPr>
                <w:rFonts w:ascii="Arial" w:eastAsia="Arial Narrow" w:hAnsi="Arial" w:cs="Arial"/>
                <w:sz w:val="22"/>
                <w:szCs w:val="22"/>
              </w:rPr>
            </w:pPr>
            <w:r w:rsidRPr="001E086F">
              <w:rPr>
                <w:rFonts w:ascii="Arial" w:eastAsia="Arial Narrow" w:hAnsi="Arial" w:cs="Arial"/>
                <w:b/>
                <w:sz w:val="22"/>
                <w:szCs w:val="22"/>
              </w:rPr>
              <w:t>DETALLE</w:t>
            </w:r>
          </w:p>
        </w:tc>
      </w:tr>
      <w:tr w:rsidR="00835511" w:rsidRPr="001E086F" w:rsidTr="00835511">
        <w:trPr>
          <w:trHeight w:val="588"/>
        </w:trPr>
        <w:tc>
          <w:tcPr>
            <w:tcW w:w="2867"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Experiencia</w:t>
            </w:r>
          </w:p>
        </w:tc>
        <w:tc>
          <w:tcPr>
            <w:tcW w:w="5921" w:type="dxa"/>
            <w:vAlign w:val="bottom"/>
          </w:tcPr>
          <w:p w:rsidR="00835511" w:rsidRPr="001E086F" w:rsidRDefault="00835511" w:rsidP="009955DF">
            <w:pPr>
              <w:pStyle w:val="Prrafodelista"/>
              <w:numPr>
                <w:ilvl w:val="0"/>
                <w:numId w:val="22"/>
              </w:numPr>
              <w:ind w:left="148" w:hanging="141"/>
              <w:jc w:val="both"/>
              <w:rPr>
                <w:rFonts w:ascii="Arial" w:hAnsi="Arial" w:cs="Arial"/>
                <w:sz w:val="22"/>
                <w:szCs w:val="22"/>
              </w:rPr>
            </w:pPr>
            <w:r w:rsidRPr="001E086F">
              <w:rPr>
                <w:rFonts w:ascii="Arial" w:hAnsi="Arial" w:cs="Arial"/>
                <w:b/>
                <w:sz w:val="22"/>
                <w:szCs w:val="22"/>
              </w:rPr>
              <w:t>General</w:t>
            </w:r>
            <w:r w:rsidRPr="001E086F">
              <w:rPr>
                <w:rFonts w:ascii="Arial" w:hAnsi="Arial" w:cs="Arial"/>
                <w:sz w:val="22"/>
                <w:szCs w:val="22"/>
              </w:rPr>
              <w:t xml:space="preserve">: </w:t>
            </w:r>
            <w:r w:rsidR="00271272" w:rsidRPr="001E086F">
              <w:rPr>
                <w:rFonts w:ascii="Arial" w:hAnsi="Arial" w:cs="Arial"/>
                <w:color w:val="000000" w:themeColor="text1"/>
                <w:sz w:val="22"/>
                <w:szCs w:val="22"/>
              </w:rPr>
              <w:t>En administración pública y/o privada</w:t>
            </w:r>
            <w:r w:rsidR="00271272" w:rsidRPr="001E086F">
              <w:rPr>
                <w:rFonts w:ascii="Arial" w:hAnsi="Arial" w:cs="Arial"/>
                <w:color w:val="000000" w:themeColor="text1"/>
                <w:sz w:val="22"/>
                <w:szCs w:val="22"/>
                <w:lang w:val="es-ES"/>
              </w:rPr>
              <w:t xml:space="preserve"> </w:t>
            </w:r>
            <w:r w:rsidR="00271272" w:rsidRPr="001E086F">
              <w:rPr>
                <w:rFonts w:ascii="Arial" w:hAnsi="Arial" w:cs="Arial"/>
                <w:color w:val="000000" w:themeColor="text1"/>
                <w:sz w:val="22"/>
                <w:szCs w:val="22"/>
              </w:rPr>
              <w:t>de (01) año.</w:t>
            </w:r>
          </w:p>
        </w:tc>
      </w:tr>
      <w:tr w:rsidR="00835511" w:rsidRPr="001E086F" w:rsidTr="00835511">
        <w:trPr>
          <w:trHeight w:val="873"/>
        </w:trPr>
        <w:tc>
          <w:tcPr>
            <w:tcW w:w="2867"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Competencias</w:t>
            </w:r>
          </w:p>
        </w:tc>
        <w:tc>
          <w:tcPr>
            <w:tcW w:w="5921" w:type="dxa"/>
            <w:vAlign w:val="center"/>
          </w:tcPr>
          <w:p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Trabajo en Equipo.</w:t>
            </w:r>
          </w:p>
          <w:p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835511" w:rsidRPr="001E086F" w:rsidRDefault="00271272" w:rsidP="009955DF">
            <w:pPr>
              <w:numPr>
                <w:ilvl w:val="0"/>
                <w:numId w:val="22"/>
              </w:numPr>
              <w:spacing w:before="60" w:after="60"/>
              <w:ind w:left="284" w:hanging="283"/>
              <w:rPr>
                <w:rFonts w:ascii="Arial" w:hAnsi="Arial" w:cs="Arial"/>
                <w:sz w:val="22"/>
                <w:szCs w:val="22"/>
                <w:lang w:val="es-ES"/>
              </w:rPr>
            </w:pPr>
            <w:r w:rsidRPr="001E086F">
              <w:rPr>
                <w:rFonts w:ascii="Arial" w:hAnsi="Arial" w:cs="Arial"/>
                <w:color w:val="000000" w:themeColor="text1"/>
                <w:sz w:val="22"/>
                <w:szCs w:val="22"/>
              </w:rPr>
              <w:t>Discreto y Responsable.</w:t>
            </w:r>
          </w:p>
        </w:tc>
      </w:tr>
      <w:tr w:rsidR="00835511" w:rsidRPr="001E086F" w:rsidTr="00835511">
        <w:trPr>
          <w:trHeight w:val="756"/>
        </w:trPr>
        <w:tc>
          <w:tcPr>
            <w:tcW w:w="2867"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Formación Académica, grado académico, y/o nivel de estudios</w:t>
            </w:r>
          </w:p>
        </w:tc>
        <w:tc>
          <w:tcPr>
            <w:tcW w:w="5921" w:type="dxa"/>
            <w:vAlign w:val="center"/>
          </w:tcPr>
          <w:p w:rsidR="00271272" w:rsidRPr="001E086F" w:rsidRDefault="00835511" w:rsidP="009955DF">
            <w:pPr>
              <w:numPr>
                <w:ilvl w:val="0"/>
                <w:numId w:val="22"/>
              </w:numPr>
              <w:spacing w:before="60" w:after="60"/>
              <w:ind w:left="284" w:hanging="283"/>
              <w:rPr>
                <w:rFonts w:ascii="Arial" w:hAnsi="Arial" w:cs="Arial"/>
                <w:sz w:val="22"/>
                <w:szCs w:val="22"/>
              </w:rPr>
            </w:pPr>
            <w:r w:rsidRPr="001E086F">
              <w:rPr>
                <w:rFonts w:ascii="Arial" w:hAnsi="Arial" w:cs="Arial"/>
                <w:color w:val="000000" w:themeColor="text1"/>
                <w:sz w:val="22"/>
                <w:szCs w:val="22"/>
              </w:rPr>
              <w:t xml:space="preserve">Título </w:t>
            </w:r>
            <w:r w:rsidR="00434CA8" w:rsidRPr="001E086F">
              <w:rPr>
                <w:rFonts w:ascii="Arial" w:hAnsi="Arial" w:cs="Arial"/>
                <w:color w:val="000000" w:themeColor="text1"/>
                <w:sz w:val="22"/>
                <w:szCs w:val="22"/>
              </w:rPr>
              <w:t xml:space="preserve">Profesional </w:t>
            </w:r>
            <w:r w:rsidRPr="001E086F">
              <w:rPr>
                <w:rFonts w:ascii="Arial" w:hAnsi="Arial" w:cs="Arial"/>
                <w:color w:val="000000" w:themeColor="text1"/>
                <w:sz w:val="22"/>
                <w:szCs w:val="22"/>
              </w:rPr>
              <w:t xml:space="preserve">de </w:t>
            </w:r>
            <w:r w:rsidR="00E01E4D" w:rsidRPr="001E086F">
              <w:rPr>
                <w:rFonts w:ascii="Arial" w:hAnsi="Arial" w:cs="Arial"/>
                <w:color w:val="000000" w:themeColor="text1"/>
                <w:sz w:val="22"/>
                <w:szCs w:val="22"/>
              </w:rPr>
              <w:t>Trabajo Social</w:t>
            </w:r>
          </w:p>
          <w:p w:rsidR="00835511" w:rsidRPr="001E086F" w:rsidRDefault="00E01E4D" w:rsidP="009955DF">
            <w:pPr>
              <w:numPr>
                <w:ilvl w:val="0"/>
                <w:numId w:val="22"/>
              </w:numPr>
              <w:spacing w:before="60" w:after="60"/>
              <w:ind w:left="284" w:hanging="283"/>
              <w:rPr>
                <w:rFonts w:ascii="Arial" w:hAnsi="Arial" w:cs="Arial"/>
                <w:sz w:val="22"/>
                <w:szCs w:val="22"/>
              </w:rPr>
            </w:pPr>
            <w:r w:rsidRPr="001E086F">
              <w:rPr>
                <w:rFonts w:ascii="Arial" w:hAnsi="Arial" w:cs="Arial"/>
                <w:color w:val="000000" w:themeColor="text1"/>
                <w:sz w:val="22"/>
                <w:szCs w:val="22"/>
              </w:rPr>
              <w:t xml:space="preserve">Colegiatura </w:t>
            </w:r>
            <w:r w:rsidR="00835511" w:rsidRPr="001E086F">
              <w:rPr>
                <w:rFonts w:ascii="Arial" w:hAnsi="Arial" w:cs="Arial"/>
                <w:color w:val="000000" w:themeColor="text1"/>
                <w:sz w:val="22"/>
                <w:szCs w:val="22"/>
              </w:rPr>
              <w:t xml:space="preserve">y </w:t>
            </w:r>
            <w:r w:rsidRPr="001E086F">
              <w:rPr>
                <w:rFonts w:ascii="Arial" w:hAnsi="Arial" w:cs="Arial"/>
                <w:color w:val="000000" w:themeColor="text1"/>
                <w:sz w:val="22"/>
                <w:szCs w:val="22"/>
              </w:rPr>
              <w:t>Habilitación</w:t>
            </w:r>
            <w:r w:rsidR="00835511" w:rsidRPr="001E086F">
              <w:rPr>
                <w:rFonts w:ascii="Arial" w:hAnsi="Arial" w:cs="Arial"/>
                <w:color w:val="000000" w:themeColor="text1"/>
                <w:sz w:val="22"/>
                <w:szCs w:val="22"/>
              </w:rPr>
              <w:t>.</w:t>
            </w:r>
          </w:p>
        </w:tc>
      </w:tr>
      <w:tr w:rsidR="00835511" w:rsidRPr="001E086F" w:rsidTr="00835511">
        <w:tblPrEx>
          <w:tblLook w:val="04A0" w:firstRow="1" w:lastRow="0" w:firstColumn="1" w:lastColumn="0" w:noHBand="0" w:noVBand="1"/>
        </w:tblPrEx>
        <w:trPr>
          <w:trHeight w:val="784"/>
        </w:trPr>
        <w:tc>
          <w:tcPr>
            <w:tcW w:w="2867"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Cursos y/ estudios de Especialización o Habilidades</w:t>
            </w:r>
          </w:p>
        </w:tc>
        <w:tc>
          <w:tcPr>
            <w:tcW w:w="5921" w:type="dxa"/>
            <w:vAlign w:val="center"/>
          </w:tcPr>
          <w:p w:rsidR="00835511" w:rsidRPr="001E086F" w:rsidRDefault="00E01E4D" w:rsidP="009955DF">
            <w:pPr>
              <w:numPr>
                <w:ilvl w:val="0"/>
                <w:numId w:val="22"/>
              </w:numPr>
              <w:spacing w:before="60" w:after="60"/>
              <w:ind w:left="284" w:hanging="283"/>
              <w:rPr>
                <w:rFonts w:ascii="Arial" w:hAnsi="Arial" w:cs="Arial"/>
                <w:color w:val="000000" w:themeColor="text1"/>
                <w:sz w:val="22"/>
                <w:szCs w:val="22"/>
              </w:rPr>
            </w:pPr>
            <w:r w:rsidRPr="001E086F">
              <w:rPr>
                <w:rFonts w:ascii="Arial" w:hAnsi="Arial" w:cs="Arial"/>
                <w:color w:val="000000" w:themeColor="text1"/>
                <w:sz w:val="22"/>
                <w:szCs w:val="22"/>
              </w:rPr>
              <w:t>Derecho.</w:t>
            </w:r>
          </w:p>
          <w:p w:rsidR="00835511" w:rsidRPr="001E086F" w:rsidRDefault="00E01E4D" w:rsidP="009955DF">
            <w:pPr>
              <w:numPr>
                <w:ilvl w:val="0"/>
                <w:numId w:val="22"/>
              </w:numPr>
              <w:spacing w:before="60" w:after="60"/>
              <w:ind w:left="284" w:hanging="283"/>
              <w:rPr>
                <w:rFonts w:ascii="Arial" w:hAnsi="Arial" w:cs="Arial"/>
                <w:b/>
                <w:sz w:val="22"/>
                <w:szCs w:val="22"/>
              </w:rPr>
            </w:pPr>
            <w:r w:rsidRPr="001E086F">
              <w:rPr>
                <w:rFonts w:ascii="Arial" w:hAnsi="Arial" w:cs="Arial"/>
                <w:color w:val="000000" w:themeColor="text1"/>
                <w:sz w:val="22"/>
                <w:szCs w:val="22"/>
              </w:rPr>
              <w:t>Trabajo Social.</w:t>
            </w:r>
          </w:p>
        </w:tc>
      </w:tr>
      <w:tr w:rsidR="00835511" w:rsidRPr="001E086F" w:rsidTr="00835511">
        <w:tblPrEx>
          <w:tblLook w:val="04A0" w:firstRow="1" w:lastRow="0" w:firstColumn="1" w:lastColumn="0" w:noHBand="0" w:noVBand="1"/>
        </w:tblPrEx>
        <w:trPr>
          <w:trHeight w:val="514"/>
        </w:trPr>
        <w:tc>
          <w:tcPr>
            <w:tcW w:w="2867"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Requisitos para el puesto y/o cargo:</w:t>
            </w:r>
          </w:p>
        </w:tc>
        <w:tc>
          <w:tcPr>
            <w:tcW w:w="5921" w:type="dxa"/>
            <w:vAlign w:val="center"/>
          </w:tcPr>
          <w:p w:rsidR="00835511" w:rsidRPr="001E086F" w:rsidRDefault="00835511" w:rsidP="00835511">
            <w:pPr>
              <w:spacing w:before="60" w:after="60"/>
              <w:rPr>
                <w:rFonts w:ascii="Arial" w:hAnsi="Arial" w:cs="Arial"/>
                <w:b/>
                <w:color w:val="000000" w:themeColor="text1"/>
                <w:sz w:val="22"/>
                <w:szCs w:val="22"/>
              </w:rPr>
            </w:pPr>
            <w:r w:rsidRPr="001E086F">
              <w:rPr>
                <w:rFonts w:ascii="Arial" w:hAnsi="Arial" w:cs="Arial"/>
                <w:b/>
                <w:color w:val="000000" w:themeColor="text1"/>
                <w:sz w:val="22"/>
                <w:szCs w:val="22"/>
              </w:rPr>
              <w:t>Indispensable:</w:t>
            </w:r>
          </w:p>
          <w:p w:rsidR="00835511" w:rsidRPr="001E086F" w:rsidRDefault="00E01E4D" w:rsidP="009955DF">
            <w:pPr>
              <w:pStyle w:val="Prrafodelista"/>
              <w:numPr>
                <w:ilvl w:val="0"/>
                <w:numId w:val="22"/>
              </w:numPr>
              <w:ind w:left="256" w:hanging="256"/>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Ofimática (Word, Excel, Power Point).</w:t>
            </w:r>
          </w:p>
          <w:p w:rsidR="00E01E4D" w:rsidRPr="001E086F" w:rsidRDefault="00E01E4D" w:rsidP="00E01E4D">
            <w:pPr>
              <w:pStyle w:val="Prrafodelista"/>
              <w:ind w:left="256"/>
              <w:jc w:val="both"/>
              <w:rPr>
                <w:rFonts w:ascii="Arial" w:hAnsi="Arial" w:cs="Arial"/>
                <w:color w:val="000000" w:themeColor="text1"/>
                <w:sz w:val="22"/>
                <w:szCs w:val="22"/>
                <w:lang w:val="en-US"/>
              </w:rPr>
            </w:pPr>
          </w:p>
        </w:tc>
      </w:tr>
    </w:tbl>
    <w:p w:rsidR="00835511" w:rsidRPr="001E086F" w:rsidRDefault="00835511" w:rsidP="009955DF">
      <w:pPr>
        <w:pStyle w:val="Prrafodelista"/>
        <w:numPr>
          <w:ilvl w:val="0"/>
          <w:numId w:val="24"/>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1E086F">
        <w:rPr>
          <w:rFonts w:ascii="Arial" w:eastAsia="Arial Narrow" w:hAnsi="Arial" w:cs="Arial"/>
          <w:b/>
          <w:sz w:val="22"/>
          <w:szCs w:val="22"/>
        </w:rPr>
        <w:t>CARACTERISTICAS DEL PUESTO Y/O CARGO</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Compromiso, responsabilidad, vocación de servicio, adaptabilidad-flexibilidad, comunicación, orientación a resultados, capacidad de análisis y síntesis, planificación y organización, orientación al detalle y coordinación eficaz.</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Seguimiento del buen uso de la pensión alimentaria.</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Seguimiento y evaluación de los casos conciliados junto al equipo multidisciplinario</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Elaboración, planificación y ejecución del proyecto “Escuela para padres”.</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Detectar y seguimiento de casos de bullying.</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Orientación y consejería a NNA – Padres en casos de conductas indebidas.</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Detectar y realizar seguimiento en casos en abandono de niñas, niños y adolescentes.</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Intervenir e informar para prevenir casos sobre trata de personas.</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Desarrollar proyectos, actividades o acciones proactivas e bien de los NNA.</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Desarrollar programas de capacitación y sensibilización al público usuario e instituciones involucradas con los NNA.</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 xml:space="preserve">Coordinar con las instituciones involucradas, trabajo conjunto en beneficio de NNA y grupo familiar. </w:t>
      </w:r>
    </w:p>
    <w:p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Trabajar con el equipo multidisciplinario las actividades programadas en el POI</w:t>
      </w:r>
    </w:p>
    <w:p w:rsidR="00835511" w:rsidRPr="001E086F" w:rsidRDefault="00835511" w:rsidP="009955DF">
      <w:pPr>
        <w:pStyle w:val="Prrafodelista"/>
        <w:numPr>
          <w:ilvl w:val="0"/>
          <w:numId w:val="22"/>
        </w:numPr>
        <w:ind w:left="426" w:hanging="284"/>
        <w:jc w:val="both"/>
        <w:rPr>
          <w:rFonts w:ascii="Arial" w:hAnsi="Arial" w:cs="Arial"/>
          <w:color w:val="FF0000"/>
          <w:sz w:val="22"/>
          <w:szCs w:val="22"/>
        </w:rPr>
      </w:pPr>
      <w:r w:rsidRPr="001E086F">
        <w:rPr>
          <w:rFonts w:ascii="Arial" w:hAnsi="Arial" w:cs="Arial"/>
          <w:sz w:val="22"/>
          <w:szCs w:val="22"/>
        </w:rPr>
        <w:t>Cumplir con las demás funciones que le encomiende su jefe inmediato, de acuerdo a la naturaleza de sus funciones y que estén dentro del Marco Legal.</w:t>
      </w:r>
    </w:p>
    <w:p w:rsidR="00835511" w:rsidRPr="00F2471A" w:rsidRDefault="00835511" w:rsidP="009955DF">
      <w:pPr>
        <w:pStyle w:val="Prrafodelista"/>
        <w:numPr>
          <w:ilvl w:val="0"/>
          <w:numId w:val="22"/>
        </w:numPr>
        <w:ind w:left="426" w:hanging="284"/>
        <w:jc w:val="both"/>
        <w:rPr>
          <w:rFonts w:ascii="Arial" w:hAnsi="Arial" w:cs="Arial"/>
          <w:color w:val="FF0000"/>
          <w:sz w:val="22"/>
          <w:szCs w:val="22"/>
        </w:rPr>
      </w:pPr>
      <w:r w:rsidRPr="001E086F">
        <w:rPr>
          <w:rFonts w:ascii="Arial" w:hAnsi="Arial" w:cs="Arial"/>
          <w:sz w:val="22"/>
          <w:szCs w:val="22"/>
        </w:rPr>
        <w:t>Creación del COMUDEMA, CONNA, Defensores de Juntas Vecinales y representación de la DEMUNA en actividades de coordinación.</w:t>
      </w:r>
    </w:p>
    <w:p w:rsidR="00F2471A" w:rsidRPr="00F2471A" w:rsidRDefault="00F2471A" w:rsidP="009955DF">
      <w:pPr>
        <w:pStyle w:val="Prrafodelista"/>
        <w:numPr>
          <w:ilvl w:val="0"/>
          <w:numId w:val="22"/>
        </w:numPr>
        <w:ind w:left="426" w:hanging="284"/>
        <w:jc w:val="both"/>
        <w:rPr>
          <w:rFonts w:ascii="Arial" w:hAnsi="Arial" w:cs="Arial"/>
          <w:color w:val="FF0000"/>
          <w:sz w:val="22"/>
          <w:szCs w:val="22"/>
        </w:rPr>
      </w:pPr>
      <w:r>
        <w:rPr>
          <w:rFonts w:ascii="Arial" w:hAnsi="Arial" w:cs="Arial"/>
          <w:sz w:val="22"/>
          <w:szCs w:val="22"/>
        </w:rPr>
        <w:t>Otras funciones que le asigne el Responsable del Área de la DEMUNA.</w:t>
      </w:r>
    </w:p>
    <w:p w:rsidR="00835511" w:rsidRPr="001E086F" w:rsidRDefault="00835511" w:rsidP="009955DF">
      <w:pPr>
        <w:pStyle w:val="Prrafodelista"/>
        <w:numPr>
          <w:ilvl w:val="0"/>
          <w:numId w:val="24"/>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1E086F">
        <w:rPr>
          <w:rFonts w:ascii="Arial" w:eastAsia="Arial Narrow" w:hAnsi="Arial" w:cs="Arial"/>
          <w:b/>
          <w:sz w:val="22"/>
          <w:szCs w:val="22"/>
        </w:rPr>
        <w:lastRenderedPageBreak/>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835511" w:rsidRPr="001E086F" w:rsidTr="00835511">
        <w:tc>
          <w:tcPr>
            <w:tcW w:w="3118" w:type="dxa"/>
            <w:shd w:val="clear" w:color="auto" w:fill="7F7F7F" w:themeFill="text1" w:themeFillTint="80"/>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CONDICIONES</w:t>
            </w:r>
          </w:p>
        </w:tc>
        <w:tc>
          <w:tcPr>
            <w:tcW w:w="5670" w:type="dxa"/>
            <w:shd w:val="clear" w:color="auto" w:fill="7F7F7F" w:themeFill="text1" w:themeFillTint="80"/>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DETALLE</w:t>
            </w:r>
          </w:p>
        </w:tc>
      </w:tr>
      <w:tr w:rsidR="00835511" w:rsidRPr="001E086F" w:rsidTr="00835511">
        <w:tc>
          <w:tcPr>
            <w:tcW w:w="3118"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Lugar de prestación del servicio</w:t>
            </w:r>
          </w:p>
        </w:tc>
        <w:tc>
          <w:tcPr>
            <w:tcW w:w="5670" w:type="dxa"/>
          </w:tcPr>
          <w:p w:rsidR="00835511" w:rsidRPr="001E086F" w:rsidRDefault="00835511" w:rsidP="00835511">
            <w:pPr>
              <w:spacing w:before="60" w:after="60"/>
              <w:jc w:val="both"/>
              <w:rPr>
                <w:rFonts w:ascii="Arial" w:eastAsia="Arial Narrow" w:hAnsi="Arial" w:cs="Arial"/>
                <w:sz w:val="22"/>
                <w:szCs w:val="22"/>
              </w:rPr>
            </w:pPr>
            <w:r w:rsidRPr="001E086F">
              <w:rPr>
                <w:rFonts w:ascii="Arial" w:eastAsia="Arial Narrow" w:hAnsi="Arial" w:cs="Arial"/>
                <w:sz w:val="22"/>
                <w:szCs w:val="22"/>
              </w:rPr>
              <w:t xml:space="preserve">Municipalidad Provincial Sánchez Carrión (Psje. Hospital </w:t>
            </w:r>
            <w:r w:rsidR="00F2471A" w:rsidRPr="001E086F">
              <w:rPr>
                <w:rFonts w:ascii="Arial" w:eastAsia="Arial Narrow" w:hAnsi="Arial" w:cs="Arial"/>
                <w:sz w:val="22"/>
                <w:szCs w:val="22"/>
              </w:rPr>
              <w:t xml:space="preserve">S/N </w:t>
            </w:r>
            <w:r w:rsidRPr="001E086F">
              <w:rPr>
                <w:rFonts w:ascii="Arial" w:eastAsia="Arial Narrow" w:hAnsi="Arial" w:cs="Arial"/>
                <w:sz w:val="22"/>
                <w:szCs w:val="22"/>
              </w:rPr>
              <w:t>- Huamachuco).</w:t>
            </w:r>
          </w:p>
        </w:tc>
      </w:tr>
      <w:tr w:rsidR="00835511" w:rsidRPr="001E086F" w:rsidTr="00835511">
        <w:tc>
          <w:tcPr>
            <w:tcW w:w="3118" w:type="dxa"/>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Duración del contrato</w:t>
            </w:r>
          </w:p>
        </w:tc>
        <w:tc>
          <w:tcPr>
            <w:tcW w:w="5670" w:type="dxa"/>
            <w:tcBorders>
              <w:bottom w:val="single" w:sz="4" w:space="0" w:color="auto"/>
            </w:tcBorders>
            <w:shd w:val="clear" w:color="auto" w:fill="auto"/>
          </w:tcPr>
          <w:p w:rsidR="00835511" w:rsidRPr="001E086F" w:rsidRDefault="001C0748" w:rsidP="0092497E">
            <w:pPr>
              <w:spacing w:before="60" w:after="60"/>
              <w:jc w:val="both"/>
              <w:rPr>
                <w:rFonts w:ascii="Arial" w:eastAsia="Arial Narrow" w:hAnsi="Arial" w:cs="Arial"/>
                <w:sz w:val="22"/>
                <w:szCs w:val="22"/>
              </w:rPr>
            </w:pPr>
            <w:r w:rsidRPr="001E086F">
              <w:rPr>
                <w:rFonts w:ascii="Arial" w:eastAsia="Arial Narrow" w:hAnsi="Arial" w:cs="Arial"/>
                <w:sz w:val="22"/>
                <w:szCs w:val="22"/>
              </w:rPr>
              <w:t>Del</w:t>
            </w:r>
            <w:r w:rsidR="00835511" w:rsidRPr="001E086F">
              <w:rPr>
                <w:rFonts w:ascii="Arial" w:eastAsia="Arial Narrow" w:hAnsi="Arial" w:cs="Arial"/>
                <w:sz w:val="22"/>
                <w:szCs w:val="22"/>
              </w:rPr>
              <w:t xml:space="preserve"> </w:t>
            </w:r>
            <w:r w:rsidR="00096B90">
              <w:rPr>
                <w:rFonts w:ascii="Arial" w:eastAsia="Arial Narrow" w:hAnsi="Arial" w:cs="Arial"/>
                <w:sz w:val="22"/>
                <w:szCs w:val="22"/>
              </w:rPr>
              <w:t>11</w:t>
            </w:r>
            <w:r w:rsidR="009E1F1F" w:rsidRPr="001E086F">
              <w:rPr>
                <w:rFonts w:ascii="Arial" w:eastAsia="Arial Narrow" w:hAnsi="Arial" w:cs="Arial"/>
                <w:sz w:val="22"/>
                <w:szCs w:val="22"/>
              </w:rPr>
              <w:t xml:space="preserve"> de octubre</w:t>
            </w:r>
            <w:r w:rsidR="00835511" w:rsidRPr="001E086F">
              <w:rPr>
                <w:rFonts w:ascii="Arial" w:eastAsia="Arial Narrow" w:hAnsi="Arial" w:cs="Arial"/>
                <w:sz w:val="22"/>
                <w:szCs w:val="22"/>
              </w:rPr>
              <w:t xml:space="preserve"> al 31 de diciembre</w:t>
            </w:r>
            <w:r w:rsidR="002204EA" w:rsidRPr="001E086F">
              <w:rPr>
                <w:rFonts w:ascii="Arial" w:eastAsia="Arial Narrow" w:hAnsi="Arial" w:cs="Arial"/>
                <w:sz w:val="22"/>
                <w:szCs w:val="22"/>
              </w:rPr>
              <w:t xml:space="preserve"> del 2021</w:t>
            </w:r>
            <w:r w:rsidR="00835511" w:rsidRPr="001E086F">
              <w:rPr>
                <w:rFonts w:ascii="Arial" w:eastAsia="Arial Narrow" w:hAnsi="Arial" w:cs="Arial"/>
                <w:sz w:val="22"/>
                <w:szCs w:val="22"/>
              </w:rPr>
              <w:t>.</w:t>
            </w:r>
          </w:p>
        </w:tc>
      </w:tr>
      <w:tr w:rsidR="00835511" w:rsidRPr="001E086F" w:rsidTr="00835511">
        <w:trPr>
          <w:trHeight w:val="360"/>
        </w:trPr>
        <w:tc>
          <w:tcPr>
            <w:tcW w:w="3118" w:type="dxa"/>
            <w:vMerge w:val="restart"/>
            <w:tcBorders>
              <w:right w:val="single" w:sz="4" w:space="0" w:color="auto"/>
            </w:tcBorders>
            <w:vAlign w:val="center"/>
          </w:tcPr>
          <w:p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rsidR="00835511" w:rsidRPr="001E086F" w:rsidRDefault="0092497E" w:rsidP="009E1F1F">
            <w:pPr>
              <w:spacing w:before="60" w:after="60"/>
              <w:jc w:val="both"/>
              <w:rPr>
                <w:rFonts w:ascii="Arial" w:eastAsia="Arial Narrow" w:hAnsi="Arial" w:cs="Arial"/>
                <w:sz w:val="22"/>
                <w:szCs w:val="22"/>
              </w:rPr>
            </w:pPr>
            <w:r>
              <w:rPr>
                <w:rFonts w:ascii="Arial" w:eastAsia="Arial Narrow" w:hAnsi="Arial" w:cs="Arial"/>
                <w:sz w:val="22"/>
                <w:szCs w:val="22"/>
              </w:rPr>
              <w:t xml:space="preserve">S/. </w:t>
            </w:r>
            <w:r w:rsidR="00835511" w:rsidRPr="001E086F">
              <w:rPr>
                <w:rFonts w:ascii="Arial" w:eastAsia="Arial Narrow" w:hAnsi="Arial" w:cs="Arial"/>
                <w:sz w:val="22"/>
                <w:szCs w:val="22"/>
              </w:rPr>
              <w:t xml:space="preserve">2,100.00 (dos mil cien con 00/100 </w:t>
            </w:r>
            <w:r w:rsidR="009E1F1F" w:rsidRPr="001E086F">
              <w:rPr>
                <w:rFonts w:ascii="Arial" w:eastAsia="Arial Narrow" w:hAnsi="Arial" w:cs="Arial"/>
                <w:sz w:val="22"/>
                <w:szCs w:val="22"/>
              </w:rPr>
              <w:t>s</w:t>
            </w:r>
            <w:r w:rsidR="002E5800" w:rsidRPr="001E086F">
              <w:rPr>
                <w:rFonts w:ascii="Arial" w:eastAsia="Arial Narrow" w:hAnsi="Arial" w:cs="Arial"/>
                <w:sz w:val="22"/>
                <w:szCs w:val="22"/>
              </w:rPr>
              <w:t>oles</w:t>
            </w:r>
            <w:r w:rsidR="00835511" w:rsidRPr="001E086F">
              <w:rPr>
                <w:rFonts w:ascii="Arial" w:eastAsia="Arial Narrow" w:hAnsi="Arial" w:cs="Arial"/>
                <w:sz w:val="22"/>
                <w:szCs w:val="22"/>
              </w:rPr>
              <w:t>).</w:t>
            </w:r>
          </w:p>
        </w:tc>
      </w:tr>
      <w:tr w:rsidR="00835511" w:rsidRPr="001E086F" w:rsidTr="00835511">
        <w:trPr>
          <w:trHeight w:val="360"/>
        </w:trPr>
        <w:tc>
          <w:tcPr>
            <w:tcW w:w="3118" w:type="dxa"/>
            <w:vMerge/>
          </w:tcPr>
          <w:p w:rsidR="00835511" w:rsidRPr="001E086F" w:rsidRDefault="00835511" w:rsidP="00835511">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rsidR="00835511" w:rsidRPr="001E086F" w:rsidRDefault="00835511" w:rsidP="00835511">
            <w:pPr>
              <w:spacing w:before="60" w:after="60"/>
              <w:jc w:val="both"/>
              <w:rPr>
                <w:rFonts w:ascii="Arial" w:eastAsia="Arial Narrow" w:hAnsi="Arial" w:cs="Arial"/>
                <w:sz w:val="22"/>
                <w:szCs w:val="22"/>
              </w:rPr>
            </w:pPr>
            <w:r w:rsidRPr="001E086F">
              <w:rPr>
                <w:rFonts w:ascii="Arial" w:eastAsia="Arial Narrow" w:hAnsi="Arial" w:cs="Arial"/>
                <w:sz w:val="22"/>
                <w:szCs w:val="22"/>
              </w:rPr>
              <w:t>Incluyen los montos y afectaciones de ley, así como toda deducción aplicable al contratado.</w:t>
            </w:r>
          </w:p>
        </w:tc>
      </w:tr>
    </w:tbl>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Pr="001E086F" w:rsidRDefault="00835511" w:rsidP="008759E5">
      <w:pPr>
        <w:rPr>
          <w:rFonts w:ascii="Arial" w:hAnsi="Arial" w:cs="Arial"/>
        </w:rPr>
      </w:pPr>
    </w:p>
    <w:p w:rsidR="00835511" w:rsidRDefault="00835511" w:rsidP="008759E5">
      <w:pPr>
        <w:rPr>
          <w:rFonts w:ascii="Arial" w:hAnsi="Arial" w:cs="Arial"/>
        </w:rPr>
      </w:pPr>
    </w:p>
    <w:p w:rsidR="002B3566" w:rsidRDefault="002B3566" w:rsidP="008759E5">
      <w:pPr>
        <w:rPr>
          <w:rFonts w:ascii="Arial" w:hAnsi="Arial" w:cs="Arial"/>
        </w:rPr>
      </w:pPr>
    </w:p>
    <w:p w:rsidR="002B3566" w:rsidRDefault="002B3566" w:rsidP="008759E5">
      <w:pPr>
        <w:rPr>
          <w:rFonts w:ascii="Arial" w:hAnsi="Arial" w:cs="Arial"/>
        </w:rPr>
      </w:pPr>
    </w:p>
    <w:p w:rsidR="002B3566" w:rsidRDefault="002B3566" w:rsidP="008759E5">
      <w:pPr>
        <w:rPr>
          <w:rFonts w:ascii="Arial" w:hAnsi="Arial" w:cs="Arial"/>
        </w:rPr>
      </w:pPr>
    </w:p>
    <w:p w:rsidR="003128EC" w:rsidRDefault="003128EC" w:rsidP="008759E5">
      <w:pPr>
        <w:rPr>
          <w:rFonts w:ascii="Arial" w:hAnsi="Arial" w:cs="Arial"/>
        </w:rPr>
      </w:pPr>
    </w:p>
    <w:p w:rsidR="003128EC" w:rsidRPr="001E086F" w:rsidRDefault="003128EC" w:rsidP="008759E5">
      <w:pPr>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FEE" w:rsidRDefault="00151FEE" w:rsidP="008759E5">
      <w:r>
        <w:separator/>
      </w:r>
    </w:p>
  </w:endnote>
  <w:endnote w:type="continuationSeparator" w:id="0">
    <w:p w:rsidR="00151FEE" w:rsidRDefault="00151FEE"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FEE" w:rsidRDefault="00151FEE" w:rsidP="008759E5">
      <w:r>
        <w:separator/>
      </w:r>
    </w:p>
  </w:footnote>
  <w:footnote w:type="continuationSeparator" w:id="0">
    <w:p w:rsidR="00151FEE" w:rsidRDefault="00151FEE"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1FEE"/>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3785"/>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116D6"/>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3706A"/>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E88C-775C-44D1-A56A-80FC19C6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23</Pages>
  <Words>5410</Words>
  <Characters>29761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2021-09-24T18:21:00Z</dcterms:modified>
</cp:coreProperties>
</file>