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4C37342" w14:textId="77077E04" w:rsidR="00FB7B79" w:rsidRPr="00B57590" w:rsidRDefault="009B3203" w:rsidP="00FB7B79">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9C6E40">
        <w:rPr>
          <w:rFonts w:ascii="Arial" w:eastAsia="Arial Narrow" w:hAnsi="Arial" w:cs="Arial"/>
          <w:b/>
          <w:color w:val="000000" w:themeColor="text1"/>
          <w:sz w:val="22"/>
          <w:szCs w:val="22"/>
        </w:rPr>
        <w:t>07</w:t>
      </w:r>
    </w:p>
    <w:p w14:paraId="392992AE" w14:textId="77777777" w:rsidR="005465A2" w:rsidRPr="00B57590" w:rsidRDefault="005465A2" w:rsidP="005465A2">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DOS (02) FISCALIZADORES DE PREDIOS PARA LA GERENCIA DE ADMINISTRACIÓN TRIBUTARIA.</w:t>
      </w:r>
    </w:p>
    <w:p w14:paraId="0AECDFAD" w14:textId="77777777" w:rsidR="005465A2" w:rsidRPr="00B57590" w:rsidRDefault="005465A2" w:rsidP="00376096">
      <w:pPr>
        <w:numPr>
          <w:ilvl w:val="0"/>
          <w:numId w:val="1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5465A2" w:rsidRPr="00B57590" w14:paraId="64857797" w14:textId="77777777" w:rsidTr="00BF0BC3">
        <w:trPr>
          <w:trHeight w:val="438"/>
        </w:trPr>
        <w:tc>
          <w:tcPr>
            <w:tcW w:w="2867" w:type="dxa"/>
            <w:shd w:val="clear" w:color="auto" w:fill="7F7F7F" w:themeFill="text1" w:themeFillTint="80"/>
            <w:vAlign w:val="center"/>
          </w:tcPr>
          <w:p w14:paraId="3C4DA7BF" w14:textId="77777777" w:rsidR="005465A2" w:rsidRPr="00B57590" w:rsidRDefault="005465A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0A291133" w14:textId="77777777" w:rsidR="005465A2" w:rsidRPr="00B57590" w:rsidRDefault="005465A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5465A2" w:rsidRPr="00B57590" w14:paraId="7A288879" w14:textId="77777777" w:rsidTr="00BF0BC3">
        <w:trPr>
          <w:trHeight w:val="588"/>
        </w:trPr>
        <w:tc>
          <w:tcPr>
            <w:tcW w:w="2867" w:type="dxa"/>
            <w:vAlign w:val="center"/>
          </w:tcPr>
          <w:p w14:paraId="6F49C02F"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7B5EAD3A"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b/>
                <w:color w:val="000000" w:themeColor="text1"/>
                <w:sz w:val="22"/>
                <w:szCs w:val="22"/>
                <w:lang w:val="es-ES"/>
              </w:rPr>
              <w:t>General:</w:t>
            </w:r>
            <w:r w:rsidRPr="00B57590">
              <w:rPr>
                <w:rFonts w:ascii="Arial" w:hAnsi="Arial" w:cs="Arial"/>
                <w:color w:val="000000" w:themeColor="text1"/>
                <w:sz w:val="22"/>
                <w:szCs w:val="22"/>
                <w:lang w:val="es-ES"/>
              </w:rPr>
              <w:t xml:space="preserve"> En </w:t>
            </w:r>
            <w:r w:rsidRPr="00B57590">
              <w:rPr>
                <w:rFonts w:ascii="Arial" w:hAnsi="Arial" w:cs="Arial"/>
                <w:color w:val="000000" w:themeColor="text1"/>
                <w:sz w:val="22"/>
                <w:szCs w:val="22"/>
              </w:rPr>
              <w:t>administración</w:t>
            </w:r>
            <w:r w:rsidRPr="00B57590">
              <w:rPr>
                <w:rFonts w:ascii="Arial" w:hAnsi="Arial" w:cs="Arial"/>
                <w:color w:val="000000" w:themeColor="text1"/>
                <w:sz w:val="22"/>
                <w:szCs w:val="22"/>
                <w:lang w:val="es-ES"/>
              </w:rPr>
              <w:t xml:space="preserve"> pública y/o privada de un (01) año.</w:t>
            </w:r>
          </w:p>
        </w:tc>
      </w:tr>
      <w:tr w:rsidR="005465A2" w:rsidRPr="00B57590" w14:paraId="27A3018C" w14:textId="77777777" w:rsidTr="00BF0BC3">
        <w:trPr>
          <w:trHeight w:val="2085"/>
        </w:trPr>
        <w:tc>
          <w:tcPr>
            <w:tcW w:w="2867" w:type="dxa"/>
            <w:vAlign w:val="center"/>
          </w:tcPr>
          <w:p w14:paraId="00087449"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5F61BE67"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43D263DD"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794DF2B8"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3E656A17"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53A3C7E6"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4D38B0B3"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12DF9D52" w14:textId="77777777" w:rsidR="005465A2" w:rsidRPr="00B57590" w:rsidRDefault="005465A2" w:rsidP="00BF0BC3">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B57590">
              <w:rPr>
                <w:rFonts w:ascii="Arial" w:hAnsi="Arial" w:cs="Arial"/>
                <w:color w:val="000000" w:themeColor="text1"/>
                <w:sz w:val="22"/>
                <w:szCs w:val="22"/>
              </w:rPr>
              <w:t>Discreto y Responsable.</w:t>
            </w:r>
          </w:p>
        </w:tc>
      </w:tr>
      <w:tr w:rsidR="005465A2" w:rsidRPr="00B57590" w14:paraId="0385BE28" w14:textId="77777777" w:rsidTr="00BF0BC3">
        <w:trPr>
          <w:trHeight w:val="756"/>
        </w:trPr>
        <w:tc>
          <w:tcPr>
            <w:tcW w:w="2867" w:type="dxa"/>
            <w:vAlign w:val="center"/>
          </w:tcPr>
          <w:p w14:paraId="337F1886"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2DDC9D27" w14:textId="77777777" w:rsidR="005465A2" w:rsidRPr="00B57590" w:rsidRDefault="00FB7B79" w:rsidP="00BF0BC3">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 xml:space="preserve">Estudios Técnicos </w:t>
            </w:r>
            <w:r w:rsidR="005465A2" w:rsidRPr="00B57590">
              <w:rPr>
                <w:rFonts w:ascii="Arial" w:hAnsi="Arial" w:cs="Arial"/>
                <w:color w:val="000000" w:themeColor="text1"/>
                <w:sz w:val="22"/>
                <w:szCs w:val="22"/>
              </w:rPr>
              <w:t>en Construcción Civil, Topografía o carreras afines.</w:t>
            </w:r>
          </w:p>
        </w:tc>
      </w:tr>
      <w:tr w:rsidR="005465A2" w:rsidRPr="00B57590" w14:paraId="270E9B28" w14:textId="77777777" w:rsidTr="00BF0BC3">
        <w:tblPrEx>
          <w:tblLook w:val="04A0" w:firstRow="1" w:lastRow="0" w:firstColumn="1" w:lastColumn="0" w:noHBand="0" w:noVBand="1"/>
        </w:tblPrEx>
        <w:trPr>
          <w:trHeight w:val="784"/>
        </w:trPr>
        <w:tc>
          <w:tcPr>
            <w:tcW w:w="2867" w:type="dxa"/>
            <w:vAlign w:val="center"/>
          </w:tcPr>
          <w:p w14:paraId="3CDCC7F8" w14:textId="3FE6579A"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hAnsi="Arial" w:cs="Arial"/>
                <w:b/>
                <w:color w:val="000000" w:themeColor="text1"/>
                <w:sz w:val="22"/>
                <w:szCs w:val="22"/>
              </w:rPr>
              <w:t>Cursos y/</w:t>
            </w:r>
            <w:r w:rsidR="002E33B8">
              <w:rPr>
                <w:rFonts w:ascii="Arial" w:hAnsi="Arial" w:cs="Arial"/>
                <w:b/>
                <w:color w:val="000000" w:themeColor="text1"/>
                <w:sz w:val="22"/>
                <w:szCs w:val="22"/>
              </w:rPr>
              <w:t>o</w:t>
            </w:r>
            <w:r w:rsidRPr="00B57590">
              <w:rPr>
                <w:rFonts w:ascii="Arial" w:hAnsi="Arial" w:cs="Arial"/>
                <w:b/>
                <w:color w:val="000000" w:themeColor="text1"/>
                <w:sz w:val="22"/>
                <w:szCs w:val="22"/>
              </w:rPr>
              <w:t xml:space="preserve"> estudios de </w:t>
            </w:r>
            <w:r w:rsidR="002E33B8" w:rsidRPr="00B57590">
              <w:rPr>
                <w:rFonts w:ascii="Arial" w:hAnsi="Arial" w:cs="Arial"/>
                <w:b/>
                <w:color w:val="000000" w:themeColor="text1"/>
                <w:sz w:val="22"/>
                <w:szCs w:val="22"/>
              </w:rPr>
              <w:t xml:space="preserve">especialización </w:t>
            </w:r>
            <w:r w:rsidRPr="00B57590">
              <w:rPr>
                <w:rFonts w:ascii="Arial" w:hAnsi="Arial" w:cs="Arial"/>
                <w:b/>
                <w:color w:val="000000" w:themeColor="text1"/>
                <w:sz w:val="22"/>
                <w:szCs w:val="22"/>
              </w:rPr>
              <w:t xml:space="preserve">o </w:t>
            </w:r>
            <w:r w:rsidR="002E33B8" w:rsidRPr="00B57590">
              <w:rPr>
                <w:rFonts w:ascii="Arial" w:hAnsi="Arial" w:cs="Arial"/>
                <w:b/>
                <w:color w:val="000000" w:themeColor="text1"/>
                <w:sz w:val="22"/>
                <w:szCs w:val="22"/>
              </w:rPr>
              <w:t>habilidades</w:t>
            </w:r>
          </w:p>
        </w:tc>
        <w:tc>
          <w:tcPr>
            <w:tcW w:w="5921" w:type="dxa"/>
            <w:shd w:val="clear" w:color="auto" w:fill="FFFFFF" w:themeFill="background1"/>
            <w:vAlign w:val="center"/>
          </w:tcPr>
          <w:p w14:paraId="7CF03AD9" w14:textId="5800950D" w:rsidR="005465A2" w:rsidRPr="00B57590" w:rsidRDefault="004B63D9" w:rsidP="004B63D9">
            <w:pPr>
              <w:spacing w:before="60" w:after="60"/>
              <w:rPr>
                <w:rFonts w:ascii="Arial" w:hAnsi="Arial" w:cs="Arial"/>
                <w:color w:val="000000" w:themeColor="text1"/>
                <w:sz w:val="22"/>
                <w:szCs w:val="22"/>
                <w:lang w:val="en-US"/>
              </w:rPr>
            </w:pPr>
            <w:r w:rsidRPr="002E33B8">
              <w:rPr>
                <w:rFonts w:ascii="Arial" w:hAnsi="Arial" w:cs="Arial"/>
                <w:color w:val="000000" w:themeColor="text1"/>
                <w:sz w:val="22"/>
                <w:szCs w:val="22"/>
                <w:lang w:val="es-ES"/>
              </w:rPr>
              <w:t xml:space="preserve">    </w:t>
            </w:r>
            <w:r w:rsidR="00714351" w:rsidRPr="00B57590">
              <w:rPr>
                <w:rFonts w:ascii="Arial" w:hAnsi="Arial" w:cs="Arial"/>
                <w:color w:val="000000" w:themeColor="text1"/>
                <w:sz w:val="22"/>
                <w:szCs w:val="22"/>
                <w:lang w:val="en-US"/>
              </w:rPr>
              <w:t>-------------------</w:t>
            </w:r>
          </w:p>
        </w:tc>
      </w:tr>
      <w:tr w:rsidR="005465A2" w:rsidRPr="00B534C5" w14:paraId="79D245DB" w14:textId="77777777" w:rsidTr="00BF0BC3">
        <w:tblPrEx>
          <w:tblLook w:val="04A0" w:firstRow="1" w:lastRow="0" w:firstColumn="1" w:lastColumn="0" w:noHBand="0" w:noVBand="1"/>
        </w:tblPrEx>
        <w:trPr>
          <w:trHeight w:val="514"/>
        </w:trPr>
        <w:tc>
          <w:tcPr>
            <w:tcW w:w="2867" w:type="dxa"/>
            <w:vAlign w:val="center"/>
          </w:tcPr>
          <w:p w14:paraId="76631EFA"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center"/>
          </w:tcPr>
          <w:p w14:paraId="79AB46EB" w14:textId="4228CABA" w:rsidR="00714351" w:rsidRPr="00B57590" w:rsidRDefault="00714351" w:rsidP="00714351">
            <w:pPr>
              <w:spacing w:before="60" w:after="60"/>
              <w:rPr>
                <w:rFonts w:ascii="Arial" w:eastAsia="Arial Narrow" w:hAnsi="Arial" w:cs="Arial"/>
                <w:b/>
                <w:color w:val="000000" w:themeColor="text1"/>
                <w:sz w:val="22"/>
                <w:szCs w:val="22"/>
                <w:lang w:val="en-US"/>
              </w:rPr>
            </w:pPr>
            <w:r w:rsidRPr="00B57590">
              <w:rPr>
                <w:rFonts w:ascii="Arial" w:eastAsia="Arial Narrow" w:hAnsi="Arial" w:cs="Arial"/>
                <w:b/>
                <w:color w:val="000000" w:themeColor="text1"/>
                <w:sz w:val="22"/>
                <w:szCs w:val="22"/>
                <w:u w:val="single"/>
                <w:lang w:val="en-US"/>
              </w:rPr>
              <w:t>Indispensable</w:t>
            </w:r>
            <w:r w:rsidRPr="00B57590">
              <w:rPr>
                <w:rFonts w:ascii="Arial" w:eastAsia="Arial Narrow" w:hAnsi="Arial" w:cs="Arial"/>
                <w:b/>
                <w:color w:val="000000" w:themeColor="text1"/>
                <w:sz w:val="22"/>
                <w:szCs w:val="22"/>
                <w:lang w:val="en-US"/>
              </w:rPr>
              <w:t>:</w:t>
            </w:r>
          </w:p>
          <w:p w14:paraId="53A847AB" w14:textId="7F0E6590" w:rsidR="005465A2" w:rsidRPr="00B57590" w:rsidRDefault="00714351" w:rsidP="00714351">
            <w:pPr>
              <w:pStyle w:val="Prrafodelista"/>
              <w:numPr>
                <w:ilvl w:val="0"/>
                <w:numId w:val="5"/>
              </w:numPr>
              <w:spacing w:before="60" w:after="60"/>
              <w:ind w:left="427"/>
              <w:rPr>
                <w:rFonts w:ascii="Arial" w:hAnsi="Arial" w:cs="Arial"/>
                <w:color w:val="000000" w:themeColor="text1"/>
                <w:sz w:val="22"/>
                <w:szCs w:val="22"/>
                <w:lang w:val="en-US"/>
              </w:rPr>
            </w:pPr>
            <w:r w:rsidRPr="00B57590">
              <w:rPr>
                <w:rFonts w:ascii="Arial" w:eastAsia="Arial Narrow" w:hAnsi="Arial" w:cs="Arial"/>
                <w:color w:val="000000" w:themeColor="text1"/>
                <w:sz w:val="22"/>
                <w:szCs w:val="22"/>
                <w:lang w:val="en-US"/>
              </w:rPr>
              <w:t xml:space="preserve">Ofimática </w:t>
            </w:r>
            <w:r w:rsidRPr="00B57590">
              <w:rPr>
                <w:rFonts w:ascii="Arial" w:hAnsi="Arial" w:cs="Arial"/>
                <w:color w:val="000000" w:themeColor="text1"/>
                <w:sz w:val="22"/>
                <w:szCs w:val="22"/>
                <w:lang w:val="en-US"/>
              </w:rPr>
              <w:t>(Excel, Word y Power Point).</w:t>
            </w:r>
          </w:p>
        </w:tc>
      </w:tr>
    </w:tbl>
    <w:p w14:paraId="1DF7A835" w14:textId="77777777" w:rsidR="00E93B97" w:rsidRPr="009B1DA5" w:rsidRDefault="00E93B97" w:rsidP="00E93B97">
      <w:pPr>
        <w:pBdr>
          <w:top w:val="nil"/>
          <w:left w:val="nil"/>
          <w:bottom w:val="nil"/>
          <w:right w:val="nil"/>
          <w:between w:val="nil"/>
        </w:pBdr>
        <w:spacing w:before="120" w:after="120"/>
        <w:ind w:left="284"/>
        <w:jc w:val="both"/>
        <w:rPr>
          <w:rFonts w:ascii="Arial" w:eastAsia="Arial Narrow" w:hAnsi="Arial" w:cs="Arial"/>
          <w:b/>
          <w:color w:val="000000" w:themeColor="text1"/>
          <w:sz w:val="2"/>
          <w:szCs w:val="22"/>
          <w:lang w:val="en-US"/>
        </w:rPr>
      </w:pPr>
    </w:p>
    <w:p w14:paraId="25AD46DD" w14:textId="36D23CFD" w:rsidR="005465A2" w:rsidRPr="00B57590" w:rsidRDefault="00E93B97" w:rsidP="00376096">
      <w:pPr>
        <w:numPr>
          <w:ilvl w:val="0"/>
          <w:numId w:val="1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5465A2" w:rsidRPr="00B57590">
        <w:rPr>
          <w:rFonts w:ascii="Arial" w:eastAsia="Arial Narrow" w:hAnsi="Arial" w:cs="Arial"/>
          <w:b/>
          <w:color w:val="000000" w:themeColor="text1"/>
          <w:sz w:val="22"/>
          <w:szCs w:val="22"/>
        </w:rPr>
        <w:t>STICAS DEL PUESTO Y/O CARGO</w:t>
      </w:r>
    </w:p>
    <w:p w14:paraId="03844695" w14:textId="77777777" w:rsidR="00092659" w:rsidRPr="00B57590" w:rsidRDefault="00092659" w:rsidP="00092659">
      <w:pPr>
        <w:numPr>
          <w:ilvl w:val="0"/>
          <w:numId w:val="5"/>
        </w:numPr>
        <w:spacing w:before="60" w:after="60" w:line="276" w:lineRule="auto"/>
        <w:ind w:left="398"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Realizar la fiscalización ocular, de oficio o solicitadas, dirigidas a determinar las obligaciones tributarias de los administrados. </w:t>
      </w:r>
    </w:p>
    <w:p w14:paraId="049481BF" w14:textId="77777777" w:rsidR="00092659" w:rsidRPr="00B57590" w:rsidRDefault="00092659" w:rsidP="00092659">
      <w:pPr>
        <w:numPr>
          <w:ilvl w:val="0"/>
          <w:numId w:val="5"/>
        </w:numPr>
        <w:spacing w:before="60" w:after="60" w:line="276" w:lineRule="auto"/>
        <w:ind w:left="398" w:hanging="283"/>
        <w:jc w:val="both"/>
        <w:rPr>
          <w:rFonts w:ascii="Arial" w:hAnsi="Arial" w:cs="Arial"/>
          <w:color w:val="000000" w:themeColor="text1"/>
          <w:sz w:val="22"/>
          <w:szCs w:val="22"/>
        </w:rPr>
      </w:pPr>
      <w:r w:rsidRPr="00B57590">
        <w:rPr>
          <w:rFonts w:ascii="Arial" w:hAnsi="Arial" w:cs="Arial"/>
          <w:color w:val="000000" w:themeColor="text1"/>
          <w:sz w:val="22"/>
          <w:szCs w:val="22"/>
        </w:rPr>
        <w:t>Planificar las acciones de inspectoría sujetas a fiscalización tributaria.</w:t>
      </w:r>
    </w:p>
    <w:p w14:paraId="50423807" w14:textId="77777777" w:rsidR="00F70921" w:rsidRPr="00B57590" w:rsidRDefault="00092659" w:rsidP="00092659">
      <w:pPr>
        <w:numPr>
          <w:ilvl w:val="0"/>
          <w:numId w:val="5"/>
        </w:numPr>
        <w:spacing w:before="60" w:after="60" w:line="276" w:lineRule="auto"/>
        <w:ind w:left="398" w:hanging="283"/>
        <w:jc w:val="both"/>
        <w:rPr>
          <w:rFonts w:ascii="Arial" w:hAnsi="Arial" w:cs="Arial"/>
          <w:color w:val="000000" w:themeColor="text1"/>
          <w:sz w:val="22"/>
          <w:szCs w:val="22"/>
        </w:rPr>
      </w:pPr>
      <w:r w:rsidRPr="00B57590">
        <w:rPr>
          <w:rFonts w:ascii="Arial" w:hAnsi="Arial" w:cs="Arial"/>
          <w:color w:val="000000" w:themeColor="text1"/>
          <w:sz w:val="22"/>
          <w:szCs w:val="22"/>
        </w:rPr>
        <w:t>Emitir informes en lo referente a las verificaciones e inspecciones realizadas que permitan una mejor fiscalización tributaria</w:t>
      </w:r>
      <w:r w:rsidR="00F70921" w:rsidRPr="00B57590">
        <w:rPr>
          <w:rFonts w:ascii="Arial" w:hAnsi="Arial" w:cs="Arial"/>
          <w:color w:val="000000" w:themeColor="text1"/>
          <w:sz w:val="22"/>
          <w:szCs w:val="22"/>
        </w:rPr>
        <w:t>.</w:t>
      </w:r>
    </w:p>
    <w:p w14:paraId="176C54DD" w14:textId="7014667B" w:rsidR="005465A2" w:rsidRDefault="005465A2" w:rsidP="00092659">
      <w:pPr>
        <w:numPr>
          <w:ilvl w:val="0"/>
          <w:numId w:val="5"/>
        </w:numPr>
        <w:spacing w:before="60" w:after="60" w:line="276" w:lineRule="auto"/>
        <w:ind w:left="398" w:hanging="283"/>
        <w:jc w:val="both"/>
        <w:rPr>
          <w:rFonts w:ascii="Arial" w:hAnsi="Arial" w:cs="Arial"/>
          <w:color w:val="000000" w:themeColor="text1"/>
          <w:sz w:val="22"/>
          <w:szCs w:val="22"/>
        </w:rPr>
      </w:pPr>
      <w:r w:rsidRPr="00B57590">
        <w:rPr>
          <w:rFonts w:ascii="Arial" w:hAnsi="Arial" w:cs="Arial"/>
          <w:color w:val="000000" w:themeColor="text1"/>
          <w:sz w:val="22"/>
          <w:szCs w:val="22"/>
        </w:rPr>
        <w:t>Otras funciones que le asigne el Gerente de Administración Tributaria.</w:t>
      </w:r>
    </w:p>
    <w:p w14:paraId="59AC74CB" w14:textId="77777777" w:rsidR="005F55CA" w:rsidRPr="009E05AB" w:rsidRDefault="005F55CA" w:rsidP="005F55CA">
      <w:pPr>
        <w:spacing w:line="276" w:lineRule="auto"/>
        <w:ind w:left="398"/>
        <w:jc w:val="both"/>
        <w:rPr>
          <w:rFonts w:ascii="Arial" w:hAnsi="Arial" w:cs="Arial"/>
          <w:color w:val="000000" w:themeColor="text1"/>
          <w:sz w:val="6"/>
          <w:szCs w:val="22"/>
        </w:rPr>
      </w:pPr>
    </w:p>
    <w:p w14:paraId="5381F904" w14:textId="77777777" w:rsidR="005465A2" w:rsidRPr="00B57590" w:rsidRDefault="005465A2" w:rsidP="00376096">
      <w:pPr>
        <w:numPr>
          <w:ilvl w:val="0"/>
          <w:numId w:val="1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5465A2" w:rsidRPr="00B57590" w14:paraId="2AD415AA" w14:textId="77777777" w:rsidTr="00BF0BC3">
        <w:tc>
          <w:tcPr>
            <w:tcW w:w="3118" w:type="dxa"/>
            <w:shd w:val="clear" w:color="auto" w:fill="7F7F7F" w:themeFill="text1" w:themeFillTint="80"/>
          </w:tcPr>
          <w:p w14:paraId="3C3B0058" w14:textId="77777777" w:rsidR="005465A2" w:rsidRPr="00B57590" w:rsidRDefault="005465A2"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3E890D68" w14:textId="77777777" w:rsidR="005465A2" w:rsidRPr="00B57590" w:rsidRDefault="005465A2"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5465A2" w:rsidRPr="00B57590" w14:paraId="18AFFB69" w14:textId="77777777" w:rsidTr="00BF0BC3">
        <w:tc>
          <w:tcPr>
            <w:tcW w:w="3118" w:type="dxa"/>
            <w:vAlign w:val="center"/>
          </w:tcPr>
          <w:p w14:paraId="254FEE28"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06702E61" w14:textId="77777777"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San Román N.° 501).</w:t>
            </w:r>
          </w:p>
        </w:tc>
      </w:tr>
      <w:tr w:rsidR="005465A2" w:rsidRPr="00B57590" w14:paraId="66A548B1" w14:textId="77777777" w:rsidTr="00BF0BC3">
        <w:tc>
          <w:tcPr>
            <w:tcW w:w="3118" w:type="dxa"/>
            <w:vAlign w:val="center"/>
          </w:tcPr>
          <w:p w14:paraId="324C9927"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3F9C34E0" w14:textId="0DC38AF6" w:rsidR="005465A2" w:rsidRPr="00B57590" w:rsidRDefault="00C5547D" w:rsidP="00BF0BC3">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BC405E">
              <w:rPr>
                <w:rFonts w:ascii="Arial" w:eastAsia="Arial Narrow" w:hAnsi="Arial" w:cs="Arial"/>
                <w:sz w:val="22"/>
                <w:szCs w:val="22"/>
              </w:rPr>
              <w:t xml:space="preserve"> de 2021</w:t>
            </w:r>
            <w:r w:rsidR="005465A2" w:rsidRPr="00B57590">
              <w:rPr>
                <w:rFonts w:ascii="Arial" w:eastAsia="Arial Narrow" w:hAnsi="Arial" w:cs="Arial"/>
                <w:sz w:val="22"/>
                <w:szCs w:val="22"/>
              </w:rPr>
              <w:t>, renovable en función a la necesidad Institucional.</w:t>
            </w:r>
          </w:p>
        </w:tc>
      </w:tr>
      <w:tr w:rsidR="005465A2" w:rsidRPr="00B57590" w14:paraId="3CB07E2F" w14:textId="77777777" w:rsidTr="00BF0BC3">
        <w:trPr>
          <w:trHeight w:val="360"/>
        </w:trPr>
        <w:tc>
          <w:tcPr>
            <w:tcW w:w="3118" w:type="dxa"/>
            <w:vMerge w:val="restart"/>
            <w:tcBorders>
              <w:right w:val="single" w:sz="4" w:space="0" w:color="auto"/>
            </w:tcBorders>
            <w:vAlign w:val="center"/>
          </w:tcPr>
          <w:p w14:paraId="6DE2ADE7"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2C365D92" w14:textId="28D6028B" w:rsidR="005465A2" w:rsidRPr="00B57590" w:rsidRDefault="005465A2" w:rsidP="00D75444">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1,200.00 (mil doscientos con 00/100 Soles).</w:t>
            </w:r>
          </w:p>
        </w:tc>
      </w:tr>
      <w:tr w:rsidR="005465A2" w:rsidRPr="00B57590" w14:paraId="3072C796" w14:textId="77777777" w:rsidTr="00BF0BC3">
        <w:trPr>
          <w:trHeight w:val="360"/>
        </w:trPr>
        <w:tc>
          <w:tcPr>
            <w:tcW w:w="3118" w:type="dxa"/>
            <w:vMerge/>
          </w:tcPr>
          <w:p w14:paraId="59E5AA3D" w14:textId="77777777" w:rsidR="005465A2" w:rsidRPr="00B57590" w:rsidRDefault="005465A2" w:rsidP="00BF0BC3">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5AC0C5D8" w14:textId="77777777"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78A9C48E" w14:textId="77777777" w:rsidR="00D84BCE" w:rsidRDefault="00D84BCE" w:rsidP="00AB4365">
      <w:pPr>
        <w:tabs>
          <w:tab w:val="left" w:pos="1134"/>
          <w:tab w:val="left" w:pos="1418"/>
        </w:tabs>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B534C5"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B534C5" w:rsidRPr="00B57590" w:rsidRDefault="00B534C5" w:rsidP="00B534C5">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E046FAD" w14:textId="77777777" w:rsidR="00B534C5" w:rsidRPr="000D249F" w:rsidRDefault="00B534C5" w:rsidP="00B534C5">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2B3CF712" w14:textId="77777777" w:rsidR="00B534C5" w:rsidRPr="000D249F" w:rsidRDefault="00B534C5" w:rsidP="00B534C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5CDF425B" w:rsidR="00B534C5" w:rsidRPr="000D249F" w:rsidRDefault="00B534C5" w:rsidP="00B534C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534C5"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B534C5" w:rsidRPr="00B57590" w:rsidRDefault="00B534C5" w:rsidP="00B534C5">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B534C5" w:rsidRPr="0050626C" w:rsidRDefault="00B534C5" w:rsidP="00B534C5">
            <w:pPr>
              <w:tabs>
                <w:tab w:val="left" w:pos="1134"/>
                <w:tab w:val="left" w:pos="1418"/>
              </w:tabs>
              <w:spacing w:before="60" w:after="60"/>
              <w:jc w:val="both"/>
              <w:rPr>
                <w:rFonts w:ascii="Arial" w:hAnsi="Arial" w:cs="Arial"/>
                <w:sz w:val="10"/>
                <w:szCs w:val="22"/>
              </w:rPr>
            </w:pPr>
          </w:p>
          <w:p w14:paraId="1FE6E9E9"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77E5C" w14:textId="77777777" w:rsidR="00B534C5" w:rsidRPr="000D249F" w:rsidRDefault="00B534C5" w:rsidP="00B534C5">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A476B10" w14:textId="77777777" w:rsidR="00B534C5" w:rsidRDefault="00B534C5" w:rsidP="00B534C5">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40E2FDE8" w14:textId="77777777" w:rsidR="00B534C5" w:rsidRPr="000D249F" w:rsidRDefault="00B534C5" w:rsidP="00B534C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5F3396DB" w14:textId="77777777" w:rsidR="00B534C5" w:rsidRPr="000D249F" w:rsidRDefault="00B534C5" w:rsidP="00B534C5">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592F26C6" w:rsidR="00B534C5" w:rsidRPr="000D249F" w:rsidRDefault="00B534C5" w:rsidP="00B534C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B534C5"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7AE5E1C9" w:rsidR="00B534C5" w:rsidRPr="000D249F" w:rsidRDefault="00B534C5" w:rsidP="00B534C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B534C5"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BEAB" w14:textId="77777777" w:rsidR="00B534C5" w:rsidRPr="000D249F" w:rsidRDefault="00B534C5" w:rsidP="00B534C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358296AA" w:rsidR="00B534C5" w:rsidRPr="000D249F" w:rsidRDefault="00B534C5" w:rsidP="00B534C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534C5"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B534C5" w:rsidRPr="00B57590" w:rsidRDefault="00B534C5" w:rsidP="00B534C5">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B534C5" w:rsidRPr="00B57590" w:rsidRDefault="00B534C5" w:rsidP="00B534C5">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B534C5" w:rsidRPr="0050626C" w:rsidRDefault="00B534C5" w:rsidP="00B534C5">
            <w:pPr>
              <w:tabs>
                <w:tab w:val="left" w:pos="1134"/>
                <w:tab w:val="left" w:pos="1418"/>
              </w:tabs>
              <w:spacing w:before="60" w:after="60"/>
              <w:rPr>
                <w:rFonts w:ascii="Arial" w:hAnsi="Arial" w:cs="Arial"/>
                <w:sz w:val="6"/>
                <w:szCs w:val="22"/>
              </w:rPr>
            </w:pPr>
          </w:p>
          <w:p w14:paraId="0B93603D" w14:textId="77777777" w:rsidR="00B534C5" w:rsidRPr="00B57590" w:rsidRDefault="00B534C5" w:rsidP="00B534C5">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AB7A2" w14:textId="77777777" w:rsidR="00B534C5" w:rsidRPr="000D249F" w:rsidRDefault="00B534C5" w:rsidP="00B534C5">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1953ACC7" w14:textId="77777777" w:rsidR="00B534C5" w:rsidRPr="000D249F" w:rsidRDefault="00B534C5" w:rsidP="00B534C5">
            <w:pPr>
              <w:tabs>
                <w:tab w:val="left" w:pos="1134"/>
                <w:tab w:val="left" w:pos="1418"/>
              </w:tabs>
              <w:spacing w:before="60" w:after="60"/>
              <w:jc w:val="center"/>
              <w:rPr>
                <w:rFonts w:ascii="Arial" w:hAnsi="Arial" w:cs="Arial"/>
                <w:sz w:val="22"/>
                <w:szCs w:val="22"/>
              </w:rPr>
            </w:pPr>
          </w:p>
          <w:p w14:paraId="3A180990" w14:textId="77777777" w:rsidR="00B534C5" w:rsidRPr="000D249F" w:rsidRDefault="00B534C5" w:rsidP="00B534C5">
            <w:pPr>
              <w:tabs>
                <w:tab w:val="left" w:pos="1134"/>
                <w:tab w:val="left" w:pos="1418"/>
              </w:tabs>
              <w:spacing w:before="60" w:after="60"/>
              <w:jc w:val="center"/>
              <w:rPr>
                <w:rFonts w:ascii="Arial" w:hAnsi="Arial" w:cs="Arial"/>
                <w:sz w:val="22"/>
                <w:szCs w:val="22"/>
              </w:rPr>
            </w:pPr>
          </w:p>
          <w:p w14:paraId="4733A6CA" w14:textId="77777777" w:rsidR="00B534C5" w:rsidRPr="000D249F" w:rsidRDefault="00B534C5" w:rsidP="00B534C5">
            <w:pPr>
              <w:tabs>
                <w:tab w:val="left" w:pos="1134"/>
                <w:tab w:val="left" w:pos="1418"/>
              </w:tabs>
              <w:spacing w:before="60" w:after="60"/>
              <w:jc w:val="center"/>
              <w:rPr>
                <w:rFonts w:ascii="Arial" w:hAnsi="Arial" w:cs="Arial"/>
                <w:sz w:val="22"/>
                <w:szCs w:val="22"/>
              </w:rPr>
            </w:pPr>
          </w:p>
          <w:p w14:paraId="0473663C" w14:textId="2392662E" w:rsidR="00B534C5" w:rsidRPr="000D249F" w:rsidRDefault="00B534C5" w:rsidP="00B534C5">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534C5"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7B1B81E7" w14:textId="77777777" w:rsidR="00B534C5" w:rsidRPr="000D249F" w:rsidRDefault="00B534C5" w:rsidP="00B534C5">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695372A7" w:rsidR="00B534C5" w:rsidRPr="000D249F" w:rsidRDefault="00B534C5" w:rsidP="00B534C5">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B534C5"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B534C5" w:rsidRPr="00B57590" w:rsidRDefault="00B534C5" w:rsidP="00B534C5">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74581D4F" w:rsidR="00B534C5" w:rsidRPr="000D249F" w:rsidRDefault="00B534C5" w:rsidP="00B534C5">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B534C5"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B534C5" w:rsidRPr="00B57590" w:rsidRDefault="00B534C5" w:rsidP="00B534C5">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28FEDBCB" w14:textId="77777777" w:rsidR="00B534C5" w:rsidRPr="000D249F" w:rsidRDefault="00B534C5" w:rsidP="00B534C5">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5442BAF5" w:rsidR="00B534C5" w:rsidRPr="00B57590" w:rsidRDefault="00B534C5" w:rsidP="00B534C5">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B534C5" w:rsidRPr="00B57590" w:rsidRDefault="00B534C5" w:rsidP="00B534C5">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4621"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FE5A8"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0DE1E"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1A604"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30930D7"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96A29E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0AD968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2ECDDF9"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4F159C1"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A8C7F"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0A1A7B4"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85FE6"/>
    <w:rsid w:val="00192D35"/>
    <w:rsid w:val="001958BB"/>
    <w:rsid w:val="001961E9"/>
    <w:rsid w:val="001975ED"/>
    <w:rsid w:val="001A5A48"/>
    <w:rsid w:val="001A5A76"/>
    <w:rsid w:val="001A77DF"/>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34C5"/>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11F9"/>
    <w:rsid w:val="00C45689"/>
    <w:rsid w:val="00C54929"/>
    <w:rsid w:val="00C550A0"/>
    <w:rsid w:val="00C5547D"/>
    <w:rsid w:val="00C61C78"/>
    <w:rsid w:val="00C62755"/>
    <w:rsid w:val="00C726EF"/>
    <w:rsid w:val="00C738F4"/>
    <w:rsid w:val="00C82F05"/>
    <w:rsid w:val="00C92825"/>
    <w:rsid w:val="00C94FE0"/>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1760712310">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29D1-24C6-4997-9ACD-D730E94C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5035</Words>
  <Characters>28704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2021-04-28T15:11:00Z</dcterms:created>
  <dcterms:modified xsi:type="dcterms:W3CDTF">2021-04-30T15:15:00Z</dcterms:modified>
</cp:coreProperties>
</file>