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D47D973" w14:textId="77777777" w:rsidR="00E5028D" w:rsidRPr="00B57590" w:rsidRDefault="005465A2" w:rsidP="00E5028D">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ITEM N° 01</w:t>
      </w:r>
    </w:p>
    <w:p w14:paraId="186DD5A4" w14:textId="1A11AE64" w:rsidR="00E5028D" w:rsidRPr="00B57590" w:rsidRDefault="00E5028D" w:rsidP="00E5028D">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ASESOR ADMINISTRATIVO PARA LA UNIDAD FORMULADORA DE LA GERENCIA DE DESARROLLO ECONÓMICO</w:t>
      </w:r>
      <w:r w:rsidR="00FA6A53" w:rsidRPr="00B57590">
        <w:rPr>
          <w:rFonts w:ascii="Arial" w:eastAsia="Arial Narrow" w:hAnsi="Arial" w:cs="Arial"/>
          <w:b/>
          <w:color w:val="000000" w:themeColor="text1"/>
          <w:sz w:val="22"/>
          <w:szCs w:val="22"/>
        </w:rPr>
        <w:t xml:space="preserve"> LOCAL.</w:t>
      </w:r>
    </w:p>
    <w:p w14:paraId="48A9B3A8" w14:textId="77777777" w:rsidR="00E5028D" w:rsidRPr="00B57590" w:rsidRDefault="00E5028D" w:rsidP="00376096">
      <w:pPr>
        <w:numPr>
          <w:ilvl w:val="0"/>
          <w:numId w:val="19"/>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E5028D" w:rsidRPr="00B57590" w14:paraId="34E4D694" w14:textId="77777777" w:rsidTr="00E5028D">
        <w:trPr>
          <w:trHeight w:val="438"/>
        </w:trPr>
        <w:tc>
          <w:tcPr>
            <w:tcW w:w="2867" w:type="dxa"/>
            <w:shd w:val="clear" w:color="auto" w:fill="7F7F7F" w:themeFill="text1" w:themeFillTint="80"/>
            <w:vAlign w:val="center"/>
          </w:tcPr>
          <w:p w14:paraId="315E22BD" w14:textId="77777777" w:rsidR="00E5028D" w:rsidRPr="00B57590" w:rsidRDefault="00E5028D" w:rsidP="00E5028D">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036781A2" w14:textId="77777777" w:rsidR="00E5028D" w:rsidRPr="00B57590" w:rsidRDefault="00E5028D" w:rsidP="00E5028D">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E5028D" w:rsidRPr="00B57590" w14:paraId="14027C97" w14:textId="77777777" w:rsidTr="00E5028D">
        <w:trPr>
          <w:trHeight w:val="588"/>
        </w:trPr>
        <w:tc>
          <w:tcPr>
            <w:tcW w:w="2867" w:type="dxa"/>
            <w:vAlign w:val="center"/>
          </w:tcPr>
          <w:p w14:paraId="4A08C47B" w14:textId="77777777" w:rsidR="00E5028D" w:rsidRPr="00B57590" w:rsidRDefault="00E5028D" w:rsidP="00E5028D">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center"/>
          </w:tcPr>
          <w:p w14:paraId="4D667EEB" w14:textId="77777777" w:rsidR="00E5028D" w:rsidRPr="00B57590" w:rsidRDefault="00E5028D" w:rsidP="006421E2">
            <w:pPr>
              <w:pStyle w:val="Prrafodelista"/>
              <w:numPr>
                <w:ilvl w:val="0"/>
                <w:numId w:val="8"/>
              </w:numPr>
              <w:spacing w:before="60" w:after="60"/>
              <w:ind w:left="432" w:hanging="284"/>
              <w:jc w:val="both"/>
              <w:rPr>
                <w:rFonts w:ascii="Arial" w:hAnsi="Arial" w:cs="Arial"/>
                <w:b/>
                <w:color w:val="000000" w:themeColor="text1"/>
                <w:sz w:val="22"/>
                <w:szCs w:val="22"/>
                <w:lang w:val="es-ES"/>
              </w:rPr>
            </w:pPr>
            <w:r w:rsidRPr="00B57590">
              <w:rPr>
                <w:rFonts w:ascii="Arial" w:hAnsi="Arial" w:cs="Arial"/>
                <w:b/>
                <w:color w:val="000000" w:themeColor="text1"/>
                <w:sz w:val="22"/>
                <w:szCs w:val="22"/>
                <w:lang w:val="es-ES"/>
              </w:rPr>
              <w:t>General</w:t>
            </w:r>
            <w:r w:rsidRPr="00B57590">
              <w:rPr>
                <w:rFonts w:ascii="Arial" w:hAnsi="Arial" w:cs="Arial"/>
                <w:b/>
                <w:color w:val="000000" w:themeColor="text1"/>
                <w:sz w:val="22"/>
                <w:szCs w:val="22"/>
              </w:rPr>
              <w:t>:</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de un (01) año</w:t>
            </w:r>
            <w:r w:rsidRPr="00B57590">
              <w:rPr>
                <w:rFonts w:ascii="Arial" w:hAnsi="Arial" w:cs="Arial"/>
                <w:b/>
                <w:color w:val="000000" w:themeColor="text1"/>
                <w:sz w:val="22"/>
                <w:szCs w:val="22"/>
                <w:lang w:val="es-ES"/>
              </w:rPr>
              <w:t>.</w:t>
            </w:r>
          </w:p>
          <w:p w14:paraId="701FEE36" w14:textId="77777777" w:rsidR="00E5028D" w:rsidRPr="00B57590" w:rsidRDefault="00E5028D" w:rsidP="006421E2">
            <w:pPr>
              <w:pStyle w:val="Prrafodelista"/>
              <w:numPr>
                <w:ilvl w:val="0"/>
                <w:numId w:val="8"/>
              </w:numPr>
              <w:spacing w:before="60" w:after="60"/>
              <w:ind w:left="432" w:hanging="283"/>
              <w:jc w:val="both"/>
              <w:rPr>
                <w:rFonts w:ascii="Arial" w:hAnsi="Arial" w:cs="Arial"/>
                <w:b/>
                <w:color w:val="000000" w:themeColor="text1"/>
                <w:sz w:val="22"/>
                <w:szCs w:val="22"/>
                <w:lang w:val="es-ES"/>
              </w:rPr>
            </w:pPr>
            <w:r w:rsidRPr="00B57590">
              <w:rPr>
                <w:rFonts w:ascii="Arial" w:hAnsi="Arial" w:cs="Arial"/>
                <w:b/>
                <w:color w:val="000000" w:themeColor="text1"/>
                <w:sz w:val="22"/>
                <w:szCs w:val="22"/>
                <w:lang w:val="es-ES"/>
              </w:rPr>
              <w:t>Específica</w:t>
            </w:r>
            <w:r w:rsidRPr="00B57590">
              <w:rPr>
                <w:rFonts w:ascii="Arial" w:hAnsi="Arial" w:cs="Arial"/>
                <w:b/>
                <w:color w:val="000000" w:themeColor="text1"/>
                <w:sz w:val="22"/>
                <w:szCs w:val="22"/>
                <w:lang w:val="es-MX"/>
              </w:rPr>
              <w:t xml:space="preserve">: </w:t>
            </w:r>
            <w:r w:rsidRPr="00B57590">
              <w:rPr>
                <w:rFonts w:ascii="Arial" w:hAnsi="Arial" w:cs="Arial"/>
                <w:color w:val="000000" w:themeColor="text1"/>
                <w:sz w:val="22"/>
                <w:szCs w:val="22"/>
              </w:rPr>
              <w:t>Formulación y/o evaluación social de inversión pública de seis (06) meses.</w:t>
            </w:r>
          </w:p>
        </w:tc>
      </w:tr>
      <w:tr w:rsidR="00E5028D" w:rsidRPr="00B57590" w14:paraId="5588BD23" w14:textId="77777777" w:rsidTr="00E5028D">
        <w:trPr>
          <w:trHeight w:val="2085"/>
        </w:trPr>
        <w:tc>
          <w:tcPr>
            <w:tcW w:w="2867" w:type="dxa"/>
            <w:vAlign w:val="center"/>
          </w:tcPr>
          <w:p w14:paraId="3E7260C8" w14:textId="77777777" w:rsidR="00E5028D" w:rsidRPr="00B57590" w:rsidRDefault="00E5028D" w:rsidP="00E5028D">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7BE5B5C6"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367B59A7"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352B24B9"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532CAADE"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73A3E26F"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7132A9B8" w14:textId="77777777" w:rsidR="006421E2" w:rsidRPr="00B57590" w:rsidRDefault="006421E2" w:rsidP="006421E2">
            <w:pPr>
              <w:numPr>
                <w:ilvl w:val="0"/>
                <w:numId w:val="5"/>
              </w:numPr>
              <w:spacing w:before="60" w:after="60"/>
              <w:ind w:left="398"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3A75D568" w14:textId="3FA5D92D" w:rsidR="00E5028D" w:rsidRPr="00B57590" w:rsidRDefault="006421E2" w:rsidP="006421E2">
            <w:pPr>
              <w:numPr>
                <w:ilvl w:val="0"/>
                <w:numId w:val="5"/>
              </w:numPr>
              <w:pBdr>
                <w:top w:val="nil"/>
                <w:left w:val="nil"/>
                <w:bottom w:val="nil"/>
                <w:right w:val="nil"/>
                <w:between w:val="nil"/>
              </w:pBdr>
              <w:spacing w:before="60" w:after="60"/>
              <w:ind w:left="398" w:hanging="283"/>
              <w:rPr>
                <w:rFonts w:ascii="Arial" w:hAnsi="Arial" w:cs="Arial"/>
                <w:color w:val="000000" w:themeColor="text1"/>
                <w:sz w:val="22"/>
                <w:szCs w:val="22"/>
                <w:lang w:val="es-ES"/>
              </w:rPr>
            </w:pPr>
            <w:r w:rsidRPr="00B57590">
              <w:rPr>
                <w:rFonts w:ascii="Arial" w:hAnsi="Arial" w:cs="Arial"/>
                <w:color w:val="000000" w:themeColor="text1"/>
                <w:sz w:val="22"/>
                <w:szCs w:val="22"/>
              </w:rPr>
              <w:t>Discreto y Responsable.</w:t>
            </w:r>
          </w:p>
        </w:tc>
      </w:tr>
      <w:tr w:rsidR="00E5028D" w:rsidRPr="00B57590" w14:paraId="10FEBD71" w14:textId="77777777" w:rsidTr="00E5028D">
        <w:trPr>
          <w:trHeight w:val="756"/>
        </w:trPr>
        <w:tc>
          <w:tcPr>
            <w:tcW w:w="2867" w:type="dxa"/>
            <w:vAlign w:val="center"/>
          </w:tcPr>
          <w:p w14:paraId="79CCD70E" w14:textId="57EA68B9" w:rsidR="00E5028D" w:rsidRPr="00B57590" w:rsidRDefault="003C4D34" w:rsidP="00E5028D">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Formación Académica, grado académico, y/o nivel de estudios</w:t>
            </w:r>
          </w:p>
        </w:tc>
        <w:tc>
          <w:tcPr>
            <w:tcW w:w="5921" w:type="dxa"/>
            <w:vAlign w:val="center"/>
          </w:tcPr>
          <w:p w14:paraId="42633124" w14:textId="77777777"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Título Profesional en Ciencias Económicas, Ciencias Agropecuarias y/o Ingeniería.</w:t>
            </w:r>
          </w:p>
          <w:p w14:paraId="7261120F" w14:textId="77777777"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 xml:space="preserve">Colegiado y habilitado. </w:t>
            </w:r>
          </w:p>
        </w:tc>
      </w:tr>
      <w:tr w:rsidR="00E5028D" w:rsidRPr="00B57590" w14:paraId="52191074" w14:textId="77777777" w:rsidTr="00E5028D">
        <w:tblPrEx>
          <w:tblLook w:val="04A0" w:firstRow="1" w:lastRow="0" w:firstColumn="1" w:lastColumn="0" w:noHBand="0" w:noVBand="1"/>
        </w:tblPrEx>
        <w:trPr>
          <w:trHeight w:val="784"/>
        </w:trPr>
        <w:tc>
          <w:tcPr>
            <w:tcW w:w="2867" w:type="dxa"/>
            <w:vAlign w:val="center"/>
          </w:tcPr>
          <w:p w14:paraId="17B6526C" w14:textId="3F0D8CD4" w:rsidR="00E5028D" w:rsidRPr="00B57590" w:rsidRDefault="003C4D34" w:rsidP="00E5028D">
            <w:pPr>
              <w:widowControl w:val="0"/>
              <w:spacing w:before="60" w:after="60"/>
              <w:ind w:left="103"/>
              <w:jc w:val="center"/>
              <w:rPr>
                <w:rFonts w:ascii="Arial" w:eastAsia="Arial Narrow" w:hAnsi="Arial" w:cs="Arial"/>
                <w:b/>
                <w:color w:val="000000" w:themeColor="text1"/>
                <w:sz w:val="22"/>
                <w:szCs w:val="22"/>
              </w:rPr>
            </w:pPr>
            <w:r w:rsidRPr="00E626D3">
              <w:rPr>
                <w:rFonts w:ascii="Arial" w:eastAsia="Arial Narrow" w:hAnsi="Arial" w:cs="Arial"/>
                <w:b/>
                <w:sz w:val="22"/>
                <w:szCs w:val="22"/>
              </w:rPr>
              <w:t>Cursos y/</w:t>
            </w:r>
            <w:r w:rsidR="002E33B8">
              <w:rPr>
                <w:rFonts w:ascii="Arial" w:eastAsia="Arial Narrow" w:hAnsi="Arial" w:cs="Arial"/>
                <w:b/>
                <w:sz w:val="22"/>
                <w:szCs w:val="22"/>
              </w:rPr>
              <w:t>o</w:t>
            </w:r>
            <w:r w:rsidRPr="00E626D3">
              <w:rPr>
                <w:rFonts w:ascii="Arial" w:eastAsia="Arial Narrow" w:hAnsi="Arial" w:cs="Arial"/>
                <w:b/>
                <w:sz w:val="22"/>
                <w:szCs w:val="22"/>
              </w:rPr>
              <w:t xml:space="preserve"> estudios de especialización o habilidades</w:t>
            </w:r>
          </w:p>
        </w:tc>
        <w:tc>
          <w:tcPr>
            <w:tcW w:w="5921" w:type="dxa"/>
            <w:vAlign w:val="center"/>
          </w:tcPr>
          <w:p w14:paraId="4884BFD1" w14:textId="1BEE96EF"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 xml:space="preserve">Gestión </w:t>
            </w:r>
            <w:r w:rsidR="00095F7C" w:rsidRPr="00B57590">
              <w:rPr>
                <w:rFonts w:ascii="Arial" w:hAnsi="Arial" w:cs="Arial"/>
                <w:color w:val="000000" w:themeColor="text1"/>
                <w:sz w:val="22"/>
                <w:szCs w:val="22"/>
                <w:lang w:val="es-ES"/>
              </w:rPr>
              <w:t>Pública</w:t>
            </w:r>
            <w:r w:rsidRPr="00B57590">
              <w:rPr>
                <w:rFonts w:ascii="Arial" w:hAnsi="Arial" w:cs="Arial"/>
                <w:color w:val="000000" w:themeColor="text1"/>
                <w:sz w:val="22"/>
                <w:szCs w:val="22"/>
                <w:lang w:val="es-ES"/>
              </w:rPr>
              <w:t>.</w:t>
            </w:r>
          </w:p>
          <w:p w14:paraId="27BF92D0" w14:textId="77777777"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MS Project.</w:t>
            </w:r>
          </w:p>
          <w:p w14:paraId="7B6FFFE3" w14:textId="77777777"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Proyectos de Inversión Pública en el Marco del Invierte.pe.</w:t>
            </w:r>
          </w:p>
          <w:p w14:paraId="12B8AEDD" w14:textId="77777777" w:rsidR="00E5028D" w:rsidRPr="00B57590" w:rsidRDefault="00E5028D" w:rsidP="00E5028D">
            <w:pPr>
              <w:numPr>
                <w:ilvl w:val="0"/>
                <w:numId w:val="5"/>
              </w:numPr>
              <w:spacing w:before="60" w:after="60"/>
              <w:ind w:left="398" w:hanging="283"/>
              <w:jc w:val="both"/>
              <w:rPr>
                <w:rFonts w:ascii="Arial" w:hAnsi="Arial" w:cs="Arial"/>
                <w:color w:val="000000" w:themeColor="text1"/>
                <w:sz w:val="22"/>
                <w:szCs w:val="22"/>
                <w:lang w:val="es-ES"/>
              </w:rPr>
            </w:pPr>
            <w:r w:rsidRPr="00B57590">
              <w:rPr>
                <w:rFonts w:ascii="Arial" w:hAnsi="Arial" w:cs="Arial"/>
                <w:color w:val="000000" w:themeColor="text1"/>
                <w:sz w:val="22"/>
                <w:szCs w:val="22"/>
                <w:lang w:val="es-ES"/>
              </w:rPr>
              <w:t>Costos y Presupuestos en Proyectos de Inversión Pública.</w:t>
            </w:r>
          </w:p>
        </w:tc>
      </w:tr>
      <w:tr w:rsidR="00E5028D" w:rsidRPr="004B6D2C" w14:paraId="5BA4B0B3" w14:textId="77777777" w:rsidTr="00E5028D">
        <w:tblPrEx>
          <w:tblLook w:val="04A0" w:firstRow="1" w:lastRow="0" w:firstColumn="1" w:lastColumn="0" w:noHBand="0" w:noVBand="1"/>
        </w:tblPrEx>
        <w:trPr>
          <w:trHeight w:val="514"/>
        </w:trPr>
        <w:tc>
          <w:tcPr>
            <w:tcW w:w="2867" w:type="dxa"/>
            <w:vAlign w:val="center"/>
          </w:tcPr>
          <w:p w14:paraId="26990683" w14:textId="77777777" w:rsidR="00E5028D" w:rsidRPr="00B57590" w:rsidRDefault="00E5028D" w:rsidP="00E5028D">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579B974C" w14:textId="77777777" w:rsidR="00E5028D" w:rsidRPr="00B57590" w:rsidRDefault="00E5028D" w:rsidP="00E5028D">
            <w:pPr>
              <w:tabs>
                <w:tab w:val="left" w:pos="7366"/>
              </w:tabs>
              <w:spacing w:before="60" w:after="60" w:line="276" w:lineRule="auto"/>
              <w:ind w:left="145"/>
              <w:rPr>
                <w:rFonts w:ascii="Arial" w:eastAsia="Arial Narrow" w:hAnsi="Arial" w:cs="Arial"/>
                <w:b/>
                <w:color w:val="000000" w:themeColor="text1"/>
                <w:sz w:val="22"/>
                <w:szCs w:val="22"/>
                <w:u w:val="single"/>
              </w:rPr>
            </w:pPr>
            <w:r w:rsidRPr="00B57590">
              <w:rPr>
                <w:rFonts w:ascii="Arial" w:eastAsia="Arial Narrow" w:hAnsi="Arial" w:cs="Arial"/>
                <w:b/>
                <w:color w:val="000000" w:themeColor="text1"/>
                <w:sz w:val="22"/>
                <w:szCs w:val="22"/>
                <w:u w:val="single"/>
              </w:rPr>
              <w:t xml:space="preserve">Indispensable: </w:t>
            </w:r>
          </w:p>
          <w:p w14:paraId="070811EF" w14:textId="77777777" w:rsidR="00E5028D" w:rsidRPr="00B57590" w:rsidRDefault="00E5028D" w:rsidP="00E5028D">
            <w:pPr>
              <w:numPr>
                <w:ilvl w:val="0"/>
                <w:numId w:val="5"/>
              </w:numPr>
              <w:spacing w:before="60" w:after="60" w:line="276" w:lineRule="auto"/>
              <w:ind w:left="398" w:hanging="283"/>
              <w:jc w:val="both"/>
              <w:rPr>
                <w:rFonts w:ascii="Arial" w:hAnsi="Arial" w:cs="Arial"/>
                <w:color w:val="000000" w:themeColor="text1"/>
                <w:sz w:val="22"/>
                <w:szCs w:val="22"/>
                <w:lang w:val="en-US"/>
              </w:rPr>
            </w:pPr>
            <w:r w:rsidRPr="00B57590">
              <w:rPr>
                <w:rFonts w:ascii="Arial" w:hAnsi="Arial" w:cs="Arial"/>
                <w:color w:val="000000" w:themeColor="text1"/>
                <w:sz w:val="22"/>
                <w:szCs w:val="22"/>
                <w:lang w:val="en-US"/>
              </w:rPr>
              <w:t>Ofimática</w:t>
            </w:r>
            <w:r w:rsidR="00BF0BC3" w:rsidRPr="00B57590">
              <w:rPr>
                <w:rFonts w:ascii="Arial" w:hAnsi="Arial" w:cs="Arial"/>
                <w:color w:val="000000" w:themeColor="text1"/>
                <w:sz w:val="22"/>
                <w:szCs w:val="22"/>
                <w:lang w:val="en-US"/>
              </w:rPr>
              <w:t xml:space="preserve"> (Excel, Word y Power Point)</w:t>
            </w:r>
            <w:r w:rsidRPr="00B57590">
              <w:rPr>
                <w:rFonts w:ascii="Arial" w:hAnsi="Arial" w:cs="Arial"/>
                <w:color w:val="000000" w:themeColor="text1"/>
                <w:sz w:val="22"/>
                <w:szCs w:val="22"/>
                <w:lang w:val="en-US"/>
              </w:rPr>
              <w:t xml:space="preserve">. </w:t>
            </w:r>
          </w:p>
        </w:tc>
      </w:tr>
    </w:tbl>
    <w:p w14:paraId="6A85D33E" w14:textId="77777777" w:rsidR="0032405A" w:rsidRPr="009B1DA5" w:rsidRDefault="0032405A" w:rsidP="0032405A">
      <w:pPr>
        <w:pBdr>
          <w:top w:val="nil"/>
          <w:left w:val="nil"/>
          <w:bottom w:val="nil"/>
          <w:right w:val="nil"/>
          <w:between w:val="nil"/>
        </w:pBdr>
        <w:spacing w:before="120" w:after="120"/>
        <w:ind w:left="284"/>
        <w:jc w:val="both"/>
        <w:rPr>
          <w:rFonts w:ascii="Arial" w:eastAsia="Arial Narrow" w:hAnsi="Arial" w:cs="Arial"/>
          <w:b/>
          <w:color w:val="000000" w:themeColor="text1"/>
          <w:sz w:val="8"/>
          <w:szCs w:val="22"/>
          <w:lang w:val="en-US"/>
        </w:rPr>
      </w:pPr>
    </w:p>
    <w:p w14:paraId="38494C35" w14:textId="39220E27" w:rsidR="00E5028D" w:rsidRPr="00B57590" w:rsidRDefault="00E5028D" w:rsidP="00376096">
      <w:pPr>
        <w:numPr>
          <w:ilvl w:val="0"/>
          <w:numId w:val="1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w:t>
      </w:r>
      <w:r w:rsidR="0032405A">
        <w:rPr>
          <w:rFonts w:ascii="Arial" w:eastAsia="Arial Narrow" w:hAnsi="Arial" w:cs="Arial"/>
          <w:b/>
          <w:color w:val="000000" w:themeColor="text1"/>
          <w:sz w:val="22"/>
          <w:szCs w:val="22"/>
        </w:rPr>
        <w:t>RACTERÍS</w:t>
      </w:r>
      <w:r w:rsidRPr="00B57590">
        <w:rPr>
          <w:rFonts w:ascii="Arial" w:eastAsia="Arial Narrow" w:hAnsi="Arial" w:cs="Arial"/>
          <w:b/>
          <w:color w:val="000000" w:themeColor="text1"/>
          <w:sz w:val="22"/>
          <w:szCs w:val="22"/>
        </w:rPr>
        <w:t>TICAS DEL PUESTO Y/O CARGO</w:t>
      </w:r>
    </w:p>
    <w:p w14:paraId="6EFD587B" w14:textId="40E59822"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Elaborar los estudios de Pre-inversión en el marco del INVIERTE.PE y registrar en el </w:t>
      </w:r>
      <w:r w:rsidR="00095F7C" w:rsidRPr="00B57590">
        <w:rPr>
          <w:rFonts w:ascii="Arial" w:hAnsi="Arial" w:cs="Arial"/>
          <w:color w:val="000000" w:themeColor="text1"/>
          <w:sz w:val="22"/>
          <w:szCs w:val="22"/>
        </w:rPr>
        <w:t xml:space="preserve">Banco </w:t>
      </w:r>
      <w:r w:rsidRPr="00B57590">
        <w:rPr>
          <w:rFonts w:ascii="Arial" w:hAnsi="Arial" w:cs="Arial"/>
          <w:color w:val="000000" w:themeColor="text1"/>
          <w:sz w:val="22"/>
          <w:szCs w:val="22"/>
        </w:rPr>
        <w:t>de Proyectos.</w:t>
      </w:r>
    </w:p>
    <w:p w14:paraId="08384E9D"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Elaborar cronogramas para la elaboración de cada Estudio de Pre inversión a su cargo, que incluyan todas las etapas de los mismos, su puesta en marcha, operación y control del proyecto aprobado.</w:t>
      </w:r>
    </w:p>
    <w:p w14:paraId="732C8E1C"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Mantener actualizada la información registrada en el Banco de Proyectos.</w:t>
      </w:r>
    </w:p>
    <w:p w14:paraId="0F54C767"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Elaborar los Términos de Referencia para estudios de pre inversión, siendo responsable por el contenido de dichos estudios.</w:t>
      </w:r>
    </w:p>
    <w:p w14:paraId="42727E61"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Identificar y priorizar Propuestas Productivas viables sustentado en la estrategia del instrumento de PROCOMPITE.</w:t>
      </w:r>
    </w:p>
    <w:p w14:paraId="3D671F69"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Elaborar Propuestas Productivas en el marco de la Ley 29337 (Ley que establece Disposiciones para Apoyar a la Competitividad Productiva) – Ley Procompite.</w:t>
      </w:r>
    </w:p>
    <w:p w14:paraId="382CE69F"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Preparar Proyectos de Desarrollo Agropecuario Integral.</w:t>
      </w:r>
    </w:p>
    <w:p w14:paraId="2D9835AF"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Liquidar Propuestas Productivas, que fueron ejecutadas mediante Ley PROCOMPITE.</w:t>
      </w:r>
    </w:p>
    <w:p w14:paraId="43503ED6"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Elaborar los informes mensuales sobre los avances de las actividades programadas.</w:t>
      </w:r>
    </w:p>
    <w:p w14:paraId="78875D6C" w14:textId="77777777" w:rsidR="00E5028D" w:rsidRPr="00B57590" w:rsidRDefault="00E5028D" w:rsidP="0032405A">
      <w:pPr>
        <w:numPr>
          <w:ilvl w:val="0"/>
          <w:numId w:val="8"/>
        </w:numPr>
        <w:spacing w:line="360" w:lineRule="auto"/>
        <w:ind w:left="426" w:hanging="283"/>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Gerente de Desarrollo Económico.</w:t>
      </w:r>
    </w:p>
    <w:p w14:paraId="3E357759" w14:textId="77777777" w:rsidR="00E5028D" w:rsidRPr="00B57590" w:rsidRDefault="00E5028D" w:rsidP="00376096">
      <w:pPr>
        <w:numPr>
          <w:ilvl w:val="0"/>
          <w:numId w:val="1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E5028D" w:rsidRPr="00B57590" w14:paraId="508DF435" w14:textId="77777777" w:rsidTr="00E5028D">
        <w:tc>
          <w:tcPr>
            <w:tcW w:w="3118" w:type="dxa"/>
            <w:shd w:val="clear" w:color="auto" w:fill="7F7F7F" w:themeFill="text1" w:themeFillTint="80"/>
          </w:tcPr>
          <w:p w14:paraId="243074EA" w14:textId="77777777" w:rsidR="00E5028D" w:rsidRPr="00B57590" w:rsidRDefault="00E5028D" w:rsidP="00E5028D">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7201F7D7" w14:textId="77777777" w:rsidR="00E5028D" w:rsidRPr="00B57590" w:rsidRDefault="00E5028D" w:rsidP="00E5028D">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E5028D" w:rsidRPr="00B57590" w14:paraId="22FFE09E" w14:textId="77777777" w:rsidTr="00E5028D">
        <w:tc>
          <w:tcPr>
            <w:tcW w:w="3118" w:type="dxa"/>
            <w:vAlign w:val="center"/>
          </w:tcPr>
          <w:p w14:paraId="70DE6DE4" w14:textId="77777777" w:rsidR="00E5028D" w:rsidRPr="00B57590" w:rsidRDefault="00E5028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202ABF76" w14:textId="77777777" w:rsidR="00E5028D" w:rsidRPr="00B57590" w:rsidRDefault="00E5028D" w:rsidP="00E5028D">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(Pasaje Hospital S/N).</w:t>
            </w:r>
          </w:p>
        </w:tc>
      </w:tr>
      <w:tr w:rsidR="00E5028D" w:rsidRPr="00B57590" w14:paraId="4F62E020" w14:textId="77777777" w:rsidTr="00E5028D">
        <w:tc>
          <w:tcPr>
            <w:tcW w:w="3118" w:type="dxa"/>
            <w:vAlign w:val="center"/>
          </w:tcPr>
          <w:p w14:paraId="4D58E391" w14:textId="77777777" w:rsidR="00E5028D" w:rsidRPr="00B57590" w:rsidRDefault="00E5028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661F072B" w14:textId="08248D55" w:rsidR="00E5028D" w:rsidRPr="00B57590" w:rsidRDefault="00C5547D" w:rsidP="00305808">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1A5A48">
              <w:rPr>
                <w:rFonts w:ascii="Arial" w:eastAsia="Arial Narrow" w:hAnsi="Arial" w:cs="Arial"/>
                <w:sz w:val="22"/>
                <w:szCs w:val="22"/>
              </w:rPr>
              <w:t xml:space="preserve"> de 2021</w:t>
            </w:r>
            <w:r w:rsidR="00E5028D" w:rsidRPr="00B57590">
              <w:rPr>
                <w:rFonts w:ascii="Arial" w:eastAsia="Arial Narrow" w:hAnsi="Arial" w:cs="Arial"/>
                <w:sz w:val="22"/>
                <w:szCs w:val="22"/>
              </w:rPr>
              <w:t>, renovable en función a la necesidad Institucional.</w:t>
            </w:r>
          </w:p>
        </w:tc>
      </w:tr>
      <w:tr w:rsidR="00E5028D" w:rsidRPr="00B57590" w14:paraId="0F5E0611" w14:textId="77777777" w:rsidTr="00E5028D">
        <w:trPr>
          <w:trHeight w:val="360"/>
        </w:trPr>
        <w:tc>
          <w:tcPr>
            <w:tcW w:w="3118" w:type="dxa"/>
            <w:vMerge w:val="restart"/>
            <w:tcBorders>
              <w:right w:val="single" w:sz="4" w:space="0" w:color="auto"/>
            </w:tcBorders>
            <w:vAlign w:val="center"/>
          </w:tcPr>
          <w:p w14:paraId="1F3D0DDC" w14:textId="77777777" w:rsidR="00E5028D" w:rsidRPr="00B57590" w:rsidRDefault="00E5028D"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0449696C" w14:textId="566E1BD0" w:rsidR="00E5028D" w:rsidRPr="00B57590" w:rsidRDefault="00F55649" w:rsidP="00E5028D">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S/2,100.00 (</w:t>
            </w:r>
            <w:r w:rsidR="009B1DA5" w:rsidRPr="00B57590">
              <w:rPr>
                <w:rFonts w:ascii="Arial" w:eastAsia="Arial Narrow" w:hAnsi="Arial" w:cs="Arial"/>
                <w:color w:val="000000" w:themeColor="text1"/>
                <w:sz w:val="22"/>
                <w:szCs w:val="22"/>
              </w:rPr>
              <w:t xml:space="preserve">dos </w:t>
            </w:r>
            <w:r w:rsidR="00E5028D" w:rsidRPr="00B57590">
              <w:rPr>
                <w:rFonts w:ascii="Arial" w:eastAsia="Arial Narrow" w:hAnsi="Arial" w:cs="Arial"/>
                <w:color w:val="000000" w:themeColor="text1"/>
                <w:sz w:val="22"/>
                <w:szCs w:val="22"/>
              </w:rPr>
              <w:t>mil cien con 00/100 Soles).</w:t>
            </w:r>
          </w:p>
        </w:tc>
      </w:tr>
      <w:tr w:rsidR="00E5028D" w:rsidRPr="00B57590" w14:paraId="337CADB2" w14:textId="77777777" w:rsidTr="00E5028D">
        <w:trPr>
          <w:trHeight w:val="360"/>
        </w:trPr>
        <w:tc>
          <w:tcPr>
            <w:tcW w:w="3118" w:type="dxa"/>
            <w:vMerge/>
          </w:tcPr>
          <w:p w14:paraId="251B65A3" w14:textId="77777777" w:rsidR="00E5028D" w:rsidRPr="00B57590" w:rsidRDefault="00E5028D" w:rsidP="00E5028D">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2716DF2E" w14:textId="77777777" w:rsidR="00E5028D" w:rsidRPr="00B57590" w:rsidRDefault="00E5028D" w:rsidP="00E5028D">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5120522A" w14:textId="77777777" w:rsidR="00E5028D" w:rsidRPr="00B57590" w:rsidRDefault="00E5028D" w:rsidP="00E5028D">
      <w:pPr>
        <w:spacing w:before="120" w:after="120"/>
        <w:rPr>
          <w:rFonts w:ascii="Arial" w:eastAsia="Arial Narrow" w:hAnsi="Arial" w:cs="Arial"/>
          <w:b/>
          <w:color w:val="000000" w:themeColor="text1"/>
          <w:sz w:val="22"/>
          <w:szCs w:val="22"/>
        </w:rPr>
      </w:pPr>
    </w:p>
    <w:p w14:paraId="5FFD008E"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080B25A0"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2EAF1D07"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0EF96E56"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120A9616"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3B2C905A"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37AA95AD" w14:textId="77777777" w:rsidR="00E5028D" w:rsidRPr="00B57590" w:rsidRDefault="00E5028D" w:rsidP="00E5028D">
      <w:pPr>
        <w:tabs>
          <w:tab w:val="left" w:pos="1134"/>
          <w:tab w:val="left" w:pos="1418"/>
        </w:tabs>
        <w:spacing w:before="120" w:after="120"/>
        <w:rPr>
          <w:rFonts w:ascii="Arial" w:eastAsia="Arial Narrow" w:hAnsi="Arial" w:cs="Arial"/>
          <w:b/>
          <w:color w:val="000000" w:themeColor="text1"/>
          <w:sz w:val="22"/>
          <w:szCs w:val="22"/>
        </w:rPr>
      </w:pPr>
    </w:p>
    <w:p w14:paraId="263CE48B"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0918620B" w14:textId="77777777" w:rsidR="005465A2" w:rsidRPr="00B57590"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077606A8"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55EA1985"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10E1EFE4"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46BCB8DF"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510D21F2"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7FDC2012"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3AC7469B"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09EC69BA" w14:textId="77777777" w:rsidR="00954250" w:rsidRPr="00B57590" w:rsidRDefault="00954250" w:rsidP="00E5028D">
      <w:pPr>
        <w:tabs>
          <w:tab w:val="left" w:pos="1134"/>
          <w:tab w:val="left" w:pos="1418"/>
        </w:tabs>
        <w:spacing w:before="120" w:after="120"/>
        <w:rPr>
          <w:rFonts w:ascii="Arial" w:eastAsia="Arial Narrow" w:hAnsi="Arial" w:cs="Arial"/>
          <w:b/>
          <w:color w:val="000000" w:themeColor="text1"/>
          <w:sz w:val="22"/>
          <w:szCs w:val="22"/>
        </w:rPr>
      </w:pPr>
    </w:p>
    <w:p w14:paraId="4DA0A7A3" w14:textId="025A51BF" w:rsidR="005465A2" w:rsidRDefault="005465A2" w:rsidP="00E5028D">
      <w:pPr>
        <w:tabs>
          <w:tab w:val="left" w:pos="1134"/>
          <w:tab w:val="left" w:pos="1418"/>
        </w:tabs>
        <w:spacing w:before="120" w:after="120"/>
        <w:rPr>
          <w:rFonts w:ascii="Arial" w:eastAsia="Arial Narrow" w:hAnsi="Arial" w:cs="Arial"/>
          <w:b/>
          <w:color w:val="000000" w:themeColor="text1"/>
          <w:sz w:val="22"/>
          <w:szCs w:val="22"/>
        </w:rPr>
      </w:pPr>
    </w:p>
    <w:p w14:paraId="5DFEC70E" w14:textId="77777777" w:rsidR="00232AF6" w:rsidRDefault="00232AF6" w:rsidP="00E5028D">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4B6D2C"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4B6D2C" w:rsidRPr="00B57590" w:rsidRDefault="004B6D2C" w:rsidP="004B6D2C">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24D443" w14:textId="77777777" w:rsidR="004B6D2C" w:rsidRPr="000D249F" w:rsidRDefault="004B6D2C" w:rsidP="004B6D2C">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73F00759" w14:textId="77777777"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5A56C895"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B6D2C"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4B6D2C" w:rsidRPr="00B57590" w:rsidRDefault="004B6D2C" w:rsidP="004B6D2C">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4B6D2C" w:rsidRPr="0050626C" w:rsidRDefault="004B6D2C" w:rsidP="004B6D2C">
            <w:pPr>
              <w:tabs>
                <w:tab w:val="left" w:pos="1134"/>
                <w:tab w:val="left" w:pos="1418"/>
              </w:tabs>
              <w:spacing w:before="60" w:after="60"/>
              <w:jc w:val="both"/>
              <w:rPr>
                <w:rFonts w:ascii="Arial" w:hAnsi="Arial" w:cs="Arial"/>
                <w:sz w:val="10"/>
                <w:szCs w:val="22"/>
              </w:rPr>
            </w:pPr>
          </w:p>
          <w:p w14:paraId="1FE6E9E9"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2C897" w14:textId="77777777" w:rsidR="004B6D2C" w:rsidRPr="000D249F" w:rsidRDefault="004B6D2C" w:rsidP="004B6D2C">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5C462B89" w14:textId="77777777" w:rsidR="004B6D2C" w:rsidRDefault="004B6D2C" w:rsidP="004B6D2C">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0B010914" w14:textId="77777777"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41C603BB" w14:textId="77777777" w:rsidR="004B6D2C" w:rsidRPr="000D249F" w:rsidRDefault="004B6D2C" w:rsidP="004B6D2C">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489F100"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4B6D2C"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71E3A2C0"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B6D2C"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FA903" w14:textId="77777777"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7C239261"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B6D2C"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4B6D2C" w:rsidRPr="00B57590" w:rsidRDefault="004B6D2C" w:rsidP="004B6D2C">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4B6D2C" w:rsidRPr="00B57590" w:rsidRDefault="004B6D2C" w:rsidP="004B6D2C">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4B6D2C" w:rsidRPr="0050626C" w:rsidRDefault="004B6D2C" w:rsidP="004B6D2C">
            <w:pPr>
              <w:tabs>
                <w:tab w:val="left" w:pos="1134"/>
                <w:tab w:val="left" w:pos="1418"/>
              </w:tabs>
              <w:spacing w:before="60" w:after="60"/>
              <w:rPr>
                <w:rFonts w:ascii="Arial" w:hAnsi="Arial" w:cs="Arial"/>
                <w:sz w:val="6"/>
                <w:szCs w:val="22"/>
              </w:rPr>
            </w:pPr>
          </w:p>
          <w:p w14:paraId="0B93603D" w14:textId="77777777" w:rsidR="004B6D2C" w:rsidRPr="00B57590" w:rsidRDefault="004B6D2C" w:rsidP="004B6D2C">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DD2D9" w14:textId="77777777" w:rsidR="004B6D2C" w:rsidRPr="000D249F" w:rsidRDefault="004B6D2C" w:rsidP="004B6D2C">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088E9FD5" w14:textId="77777777" w:rsidR="004B6D2C" w:rsidRPr="000D249F" w:rsidRDefault="004B6D2C" w:rsidP="004B6D2C">
            <w:pPr>
              <w:tabs>
                <w:tab w:val="left" w:pos="1134"/>
                <w:tab w:val="left" w:pos="1418"/>
              </w:tabs>
              <w:spacing w:before="60" w:after="60"/>
              <w:jc w:val="center"/>
              <w:rPr>
                <w:rFonts w:ascii="Arial" w:hAnsi="Arial" w:cs="Arial"/>
                <w:sz w:val="22"/>
                <w:szCs w:val="22"/>
              </w:rPr>
            </w:pPr>
          </w:p>
          <w:p w14:paraId="62966F6A" w14:textId="77777777" w:rsidR="004B6D2C" w:rsidRPr="000D249F" w:rsidRDefault="004B6D2C" w:rsidP="004B6D2C">
            <w:pPr>
              <w:tabs>
                <w:tab w:val="left" w:pos="1134"/>
                <w:tab w:val="left" w:pos="1418"/>
              </w:tabs>
              <w:spacing w:before="60" w:after="60"/>
              <w:jc w:val="center"/>
              <w:rPr>
                <w:rFonts w:ascii="Arial" w:hAnsi="Arial" w:cs="Arial"/>
                <w:sz w:val="22"/>
                <w:szCs w:val="22"/>
              </w:rPr>
            </w:pPr>
          </w:p>
          <w:p w14:paraId="403D28D3" w14:textId="77777777" w:rsidR="004B6D2C" w:rsidRPr="000D249F" w:rsidRDefault="004B6D2C" w:rsidP="004B6D2C">
            <w:pPr>
              <w:tabs>
                <w:tab w:val="left" w:pos="1134"/>
                <w:tab w:val="left" w:pos="1418"/>
              </w:tabs>
              <w:spacing w:before="60" w:after="60"/>
              <w:jc w:val="center"/>
              <w:rPr>
                <w:rFonts w:ascii="Arial" w:hAnsi="Arial" w:cs="Arial"/>
                <w:sz w:val="22"/>
                <w:szCs w:val="22"/>
              </w:rPr>
            </w:pPr>
          </w:p>
          <w:p w14:paraId="0473663C" w14:textId="0553EF09" w:rsidR="004B6D2C" w:rsidRPr="000D249F" w:rsidRDefault="004B6D2C" w:rsidP="004B6D2C">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4B6D2C"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7F119547" w14:textId="77777777" w:rsidR="004B6D2C" w:rsidRPr="000D249F" w:rsidRDefault="004B6D2C" w:rsidP="004B6D2C">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6098AED1" w:rsidR="004B6D2C" w:rsidRPr="000D249F" w:rsidRDefault="004B6D2C" w:rsidP="004B6D2C">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4B6D2C"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4B6D2C" w:rsidRPr="00B57590" w:rsidRDefault="004B6D2C" w:rsidP="004B6D2C">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6D21D486" w:rsidR="004B6D2C" w:rsidRPr="000D249F" w:rsidRDefault="004B6D2C" w:rsidP="004B6D2C">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4B6D2C"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4B6D2C" w:rsidRPr="00B57590" w:rsidRDefault="004B6D2C" w:rsidP="004B6D2C">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3DCAC3F" w14:textId="77777777" w:rsidR="004B6D2C" w:rsidRPr="000D249F" w:rsidRDefault="004B6D2C" w:rsidP="004B6D2C">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3C8BFE9" w:rsidR="004B6D2C" w:rsidRPr="00B57590" w:rsidRDefault="004B6D2C" w:rsidP="004B6D2C">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4B6D2C" w:rsidRPr="00B57590" w:rsidRDefault="004B6D2C" w:rsidP="004B6D2C">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537AB"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88217"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6935"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6167F"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662369A9" w:rsidR="001A5A48" w:rsidRDefault="001A5A48" w:rsidP="00E5028D">
                            <w:r w:rsidRPr="00A613D6">
                              <w:rPr>
                                <w:b/>
                              </w:rPr>
                              <w:t>PROCESO CAS N° 00</w:t>
                            </w:r>
                            <w:r w:rsidR="00603988">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5E14C2E4" id="_x0000_t202" coordsize="21600,21600" o:spt="202" path="m,l,21600r21600,l21600,xe">
                <v:stroke joinstyle="miter"/>
                <v:path gradientshapeok="t" o:connecttype="rect"/>
              </v:shapetype>
              <v:shape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662369A9" w:rsidR="001A5A48" w:rsidRDefault="001A5A48" w:rsidP="00E5028D">
                      <w:r w:rsidRPr="00A613D6">
                        <w:rPr>
                          <w:b/>
                        </w:rPr>
                        <w:t>PROCESO CAS N° 00</w:t>
                      </w:r>
                      <w:r w:rsidR="00603988">
                        <w:rPr>
                          <w:b/>
                        </w:rPr>
                        <w:t>3</w:t>
                      </w:r>
                      <w:bookmarkStart w:id="1" w:name="_GoBack"/>
                      <w:bookmarkEnd w:id="1"/>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lastRenderedPageBreak/>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58909F1"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719251B"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859EA44"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363CD59"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E3297B7"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1DDEC"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1D627AB"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45D2"/>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B6D2C"/>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03988"/>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13EB2"/>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75676-0D2B-4C21-9F95-AA9B2837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5173</Words>
  <Characters>29489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2021-04-28T14:59:00Z</cp:lastPrinted>
  <dcterms:created xsi:type="dcterms:W3CDTF">2021-04-28T15:03:00Z</dcterms:created>
  <dcterms:modified xsi:type="dcterms:W3CDTF">2021-04-30T15:12:00Z</dcterms:modified>
</cp:coreProperties>
</file>